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z w:val="84"/>
        </w:rPr>
      </w:pPr>
      <w:bookmarkStart w:id="0" w:name="_Toc98669333"/>
      <w:bookmarkStart w:id="1" w:name="_Toc101264811"/>
      <w:bookmarkStart w:id="2" w:name="_Toc98669691"/>
      <w:bookmarkStart w:id="3" w:name="_Toc76955228"/>
      <w:bookmarkStart w:id="65" w:name="_GoBack"/>
      <w:bookmarkEnd w:id="65"/>
    </w:p>
    <w:p>
      <w:pPr>
        <w:spacing w:line="360" w:lineRule="auto"/>
        <w:jc w:val="center"/>
        <w:rPr>
          <w:rFonts w:ascii="楷体" w:hAnsi="楷体" w:eastAsia="楷体"/>
          <w:b/>
          <w:sz w:val="84"/>
        </w:rPr>
      </w:pPr>
      <w:r>
        <w:rPr>
          <w:rFonts w:hint="eastAsia" w:ascii="楷体" w:hAnsi="楷体" w:eastAsia="楷体"/>
          <w:b/>
          <w:sz w:val="84"/>
        </w:rPr>
        <w:t>磋   商  文   件</w:t>
      </w:r>
    </w:p>
    <w:p>
      <w:pPr>
        <w:spacing w:line="360" w:lineRule="auto"/>
        <w:jc w:val="center"/>
        <w:rPr>
          <w:rFonts w:ascii="楷体" w:hAnsi="楷体" w:eastAsia="楷体"/>
          <w:sz w:val="32"/>
        </w:rPr>
      </w:pPr>
    </w:p>
    <w:p>
      <w:pPr>
        <w:spacing w:line="360" w:lineRule="auto"/>
        <w:ind w:firstLine="1789" w:firstLineChars="495"/>
        <w:rPr>
          <w:rFonts w:ascii="楷体" w:hAnsi="楷体" w:eastAsia="楷体"/>
          <w:b/>
          <w:sz w:val="36"/>
        </w:rPr>
      </w:pPr>
      <w:r>
        <w:rPr>
          <w:rFonts w:hint="eastAsia" w:ascii="楷体" w:hAnsi="楷体" w:eastAsia="楷体"/>
          <w:b/>
          <w:sz w:val="36"/>
        </w:rPr>
        <w:t>项目编号：HXZZ-(2020)-001</w:t>
      </w:r>
    </w:p>
    <w:p>
      <w:pPr>
        <w:spacing w:line="360" w:lineRule="auto"/>
        <w:ind w:left="630" w:leftChars="300" w:right="630" w:rightChars="300"/>
        <w:jc w:val="center"/>
        <w:rPr>
          <w:rFonts w:ascii="楷体" w:hAnsi="楷体" w:eastAsia="楷体"/>
          <w:b/>
          <w:sz w:val="36"/>
          <w:szCs w:val="36"/>
        </w:rPr>
      </w:pPr>
      <w:r>
        <w:rPr>
          <w:rFonts w:hint="eastAsia" w:ascii="楷体" w:hAnsi="楷体" w:eastAsia="楷体"/>
          <w:b/>
          <w:sz w:val="36"/>
          <w:szCs w:val="36"/>
        </w:rPr>
        <w:t>项目名称：金地格林及景阳广场水环境治理工程污水处理设备采购及安装</w:t>
      </w:r>
    </w:p>
    <w:p>
      <w:pPr>
        <w:spacing w:line="360" w:lineRule="auto"/>
        <w:ind w:left="630" w:leftChars="300" w:right="630" w:rightChars="300"/>
        <w:jc w:val="center"/>
        <w:rPr>
          <w:rFonts w:ascii="楷体" w:hAnsi="楷体" w:eastAsia="楷体"/>
          <w:b/>
          <w:color w:val="FF0000"/>
          <w:sz w:val="36"/>
          <w:szCs w:val="36"/>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6"/>
          <w:szCs w:val="36"/>
        </w:rPr>
      </w:pPr>
    </w:p>
    <w:p>
      <w:pPr>
        <w:spacing w:line="360" w:lineRule="auto"/>
        <w:jc w:val="center"/>
        <w:rPr>
          <w:rFonts w:ascii="楷体" w:hAnsi="楷体" w:eastAsia="楷体"/>
          <w:b/>
          <w:kern w:val="0"/>
          <w:sz w:val="36"/>
          <w:szCs w:val="36"/>
        </w:rPr>
      </w:pPr>
      <w:r>
        <w:rPr>
          <w:rFonts w:hint="eastAsia" w:ascii="楷体" w:hAnsi="楷体" w:eastAsia="楷体"/>
          <w:b/>
          <w:kern w:val="0"/>
          <w:sz w:val="36"/>
          <w:szCs w:val="36"/>
        </w:rPr>
        <w:t>江苏省华厦工程项目管理有限公司</w:t>
      </w:r>
    </w:p>
    <w:p>
      <w:pPr>
        <w:spacing w:line="360" w:lineRule="auto"/>
        <w:jc w:val="center"/>
        <w:rPr>
          <w:rFonts w:ascii="楷体" w:hAnsi="楷体" w:eastAsia="楷体"/>
          <w:b/>
          <w:sz w:val="32"/>
          <w:szCs w:val="32"/>
        </w:rPr>
      </w:pPr>
      <w:r>
        <w:rPr>
          <w:rFonts w:hint="eastAsia" w:ascii="楷体" w:hAnsi="楷体" w:eastAsia="楷体"/>
          <w:b/>
          <w:sz w:val="32"/>
          <w:szCs w:val="32"/>
        </w:rPr>
        <w:t>2020年9月7 日</w:t>
      </w:r>
    </w:p>
    <w:p>
      <w:pPr>
        <w:spacing w:line="360" w:lineRule="auto"/>
        <w:jc w:val="center"/>
        <w:rPr>
          <w:rFonts w:ascii="楷体" w:hAnsi="楷体" w:eastAsia="楷体"/>
          <w:b/>
          <w:bCs/>
          <w:sz w:val="36"/>
          <w:szCs w:val="36"/>
        </w:rPr>
      </w:pPr>
      <w:r>
        <w:rPr>
          <w:rFonts w:ascii="楷体" w:hAnsi="楷体" w:eastAsia="楷体"/>
          <w:b/>
          <w:sz w:val="32"/>
          <w:szCs w:val="32"/>
        </w:rPr>
        <w:br w:type="page"/>
      </w:r>
      <w:r>
        <w:rPr>
          <w:rFonts w:hint="eastAsia" w:ascii="楷体" w:hAnsi="楷体" w:eastAsia="楷体"/>
          <w:b/>
          <w:bCs/>
          <w:sz w:val="36"/>
          <w:szCs w:val="36"/>
        </w:rPr>
        <w:t>磋商文件目录</w:t>
      </w:r>
    </w:p>
    <w:p>
      <w:pPr>
        <w:spacing w:line="360" w:lineRule="auto"/>
        <w:rPr>
          <w:rFonts w:ascii="楷体" w:hAnsi="楷体" w:eastAsia="楷体"/>
        </w:rPr>
      </w:pPr>
    </w:p>
    <w:p>
      <w:pPr>
        <w:spacing w:line="360" w:lineRule="auto"/>
        <w:rPr>
          <w:rFonts w:ascii="楷体" w:hAnsi="楷体" w:eastAsia="楷体"/>
        </w:rPr>
      </w:pPr>
    </w:p>
    <w:p>
      <w:pPr>
        <w:pStyle w:val="29"/>
        <w:spacing w:line="360" w:lineRule="auto"/>
        <w:ind w:left="0"/>
        <w:rPr>
          <w:rFonts w:ascii="楷体" w:hAnsi="楷体" w:eastAsia="楷体"/>
          <w:b/>
          <w:sz w:val="32"/>
          <w:szCs w:val="32"/>
        </w:rPr>
      </w:pPr>
      <w:r>
        <w:rPr>
          <w:rFonts w:hint="eastAsia" w:ascii="楷体" w:hAnsi="楷体" w:eastAsia="楷体"/>
          <w:b/>
          <w:i w:val="0"/>
          <w:sz w:val="32"/>
          <w:szCs w:val="32"/>
        </w:rPr>
        <w:t>第一部分 磋商邀请                                 2—3</w:t>
      </w:r>
    </w:p>
    <w:p>
      <w:pPr>
        <w:spacing w:line="360" w:lineRule="auto"/>
        <w:jc w:val="left"/>
        <w:rPr>
          <w:rFonts w:ascii="楷体" w:hAnsi="楷体" w:eastAsia="楷体"/>
          <w:b/>
          <w:sz w:val="32"/>
          <w:szCs w:val="32"/>
        </w:rPr>
      </w:pPr>
      <w:r>
        <w:rPr>
          <w:rFonts w:hint="eastAsia" w:ascii="楷体" w:hAnsi="楷体" w:eastAsia="楷体"/>
          <w:b/>
          <w:sz w:val="32"/>
          <w:szCs w:val="32"/>
        </w:rPr>
        <w:t>第二部分 供应商须知                              4—21</w:t>
      </w:r>
    </w:p>
    <w:p>
      <w:pPr>
        <w:spacing w:line="360" w:lineRule="auto"/>
        <w:jc w:val="left"/>
        <w:rPr>
          <w:rFonts w:ascii="楷体" w:hAnsi="楷体" w:eastAsia="楷体"/>
          <w:b/>
          <w:sz w:val="32"/>
          <w:szCs w:val="32"/>
        </w:rPr>
      </w:pPr>
      <w:r>
        <w:rPr>
          <w:rFonts w:hint="eastAsia" w:ascii="楷体" w:hAnsi="楷体" w:eastAsia="楷体"/>
          <w:b/>
          <w:sz w:val="32"/>
          <w:szCs w:val="32"/>
        </w:rPr>
        <w:t>第三部分 合同条款                               22</w:t>
      </w:r>
      <w:r>
        <w:rPr>
          <w:rFonts w:ascii="楷体" w:hAnsi="楷体" w:eastAsia="楷体"/>
          <w:b/>
          <w:sz w:val="32"/>
          <w:szCs w:val="32"/>
        </w:rPr>
        <w:t>—</w:t>
      </w:r>
      <w:r>
        <w:rPr>
          <w:rFonts w:hint="eastAsia" w:ascii="楷体" w:hAnsi="楷体" w:eastAsia="楷体"/>
          <w:b/>
          <w:sz w:val="32"/>
          <w:szCs w:val="32"/>
        </w:rPr>
        <w:t>24</w:t>
      </w:r>
    </w:p>
    <w:p>
      <w:pPr>
        <w:spacing w:line="360" w:lineRule="auto"/>
        <w:jc w:val="left"/>
        <w:rPr>
          <w:rFonts w:ascii="楷体" w:hAnsi="楷体" w:eastAsia="楷体"/>
          <w:b/>
          <w:sz w:val="32"/>
          <w:szCs w:val="32"/>
        </w:rPr>
      </w:pPr>
      <w:r>
        <w:rPr>
          <w:rFonts w:hint="eastAsia" w:ascii="楷体" w:hAnsi="楷体" w:eastAsia="楷体"/>
          <w:b/>
          <w:sz w:val="32"/>
          <w:szCs w:val="32"/>
        </w:rPr>
        <w:t>第四部分 采购需求及有关说明                     25—28</w:t>
      </w:r>
    </w:p>
    <w:p>
      <w:pPr>
        <w:spacing w:line="360" w:lineRule="auto"/>
        <w:jc w:val="left"/>
        <w:rPr>
          <w:rFonts w:ascii="楷体" w:hAnsi="楷体" w:eastAsia="楷体"/>
          <w:b/>
          <w:sz w:val="32"/>
          <w:szCs w:val="32"/>
        </w:rPr>
      </w:pPr>
      <w:r>
        <w:rPr>
          <w:rFonts w:hint="eastAsia" w:ascii="楷体" w:hAnsi="楷体" w:eastAsia="楷体"/>
          <w:b/>
          <w:sz w:val="32"/>
          <w:szCs w:val="32"/>
        </w:rPr>
        <w:t>第五部分 磋商响应文件（格式）                   29—42</w:t>
      </w: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pStyle w:val="3"/>
        <w:spacing w:before="0" w:after="0" w:line="360" w:lineRule="auto"/>
        <w:ind w:firstLine="2873" w:firstLineChars="795"/>
        <w:jc w:val="both"/>
        <w:rPr>
          <w:rFonts w:ascii="楷体" w:hAnsi="楷体" w:eastAsia="楷体"/>
          <w:sz w:val="36"/>
        </w:rPr>
      </w:pPr>
      <w:r>
        <w:rPr>
          <w:rFonts w:ascii="楷体" w:hAnsi="楷体" w:eastAsia="楷体"/>
          <w:sz w:val="36"/>
        </w:rPr>
        <w:br w:type="page"/>
      </w:r>
      <w:r>
        <w:rPr>
          <w:rFonts w:hint="eastAsia" w:ascii="楷体" w:hAnsi="楷体" w:eastAsia="楷体"/>
          <w:sz w:val="36"/>
        </w:rPr>
        <w:t xml:space="preserve">第一部分  </w:t>
      </w:r>
      <w:bookmarkEnd w:id="0"/>
      <w:bookmarkEnd w:id="1"/>
      <w:bookmarkEnd w:id="2"/>
      <w:bookmarkStart w:id="4" w:name="_Toc20732967"/>
      <w:r>
        <w:rPr>
          <w:rFonts w:hint="eastAsia" w:ascii="楷体" w:hAnsi="楷体" w:eastAsia="楷体"/>
          <w:sz w:val="36"/>
        </w:rPr>
        <w:t>磋商邀请</w:t>
      </w:r>
    </w:p>
    <w:p>
      <w:pPr>
        <w:spacing w:line="400" w:lineRule="exact"/>
        <w:ind w:firstLine="480" w:firstLineChars="200"/>
        <w:rPr>
          <w:rFonts w:ascii="楷体" w:hAnsi="楷体" w:eastAsia="楷体"/>
          <w:sz w:val="24"/>
        </w:rPr>
      </w:pPr>
      <w:bookmarkStart w:id="5" w:name="OLE_LINK3"/>
      <w:bookmarkStart w:id="6" w:name="OLE_LINK1"/>
      <w:r>
        <w:rPr>
          <w:rFonts w:hint="eastAsia" w:ascii="楷体" w:hAnsi="楷体" w:eastAsia="楷体"/>
          <w:sz w:val="24"/>
        </w:rPr>
        <w:t>欢迎符合本次采购要求的供应商参加本次磋商活动，项目名称：金地格林及景阳广场水环境治理工程污水处理设备采购及安装，项目编号：HXZZ-(2020)-001。现将有关情况通知如下：</w:t>
      </w:r>
    </w:p>
    <w:p>
      <w:pPr>
        <w:numPr>
          <w:ilvl w:val="0"/>
          <w:numId w:val="7"/>
        </w:numPr>
        <w:tabs>
          <w:tab w:val="left" w:pos="960"/>
        </w:tabs>
        <w:spacing w:line="400" w:lineRule="exact"/>
        <w:ind w:left="960"/>
        <w:rPr>
          <w:rFonts w:ascii="楷体" w:hAnsi="楷体" w:eastAsia="楷体"/>
          <w:sz w:val="24"/>
        </w:rPr>
      </w:pPr>
      <w:r>
        <w:rPr>
          <w:rFonts w:hint="eastAsia" w:ascii="楷体" w:hAnsi="楷体" w:eastAsia="楷体"/>
          <w:sz w:val="24"/>
        </w:rPr>
        <w:t>供应商应具备的资格条件：</w:t>
      </w:r>
    </w:p>
    <w:p>
      <w:pPr>
        <w:spacing w:line="400" w:lineRule="exact"/>
        <w:ind w:firstLine="480" w:firstLineChars="200"/>
        <w:rPr>
          <w:rFonts w:ascii="楷体" w:hAnsi="楷体" w:eastAsia="楷体"/>
          <w:color w:val="000000"/>
          <w:sz w:val="24"/>
        </w:rPr>
      </w:pPr>
      <w:r>
        <w:rPr>
          <w:rFonts w:hint="eastAsia" w:ascii="楷体" w:hAnsi="楷体" w:eastAsia="楷体"/>
          <w:color w:val="000000"/>
          <w:sz w:val="24"/>
        </w:rPr>
        <w:t xml:space="preserve">（1）合格的供应商必须符合《政府采购法》第二十二条的相关规定： </w:t>
      </w:r>
    </w:p>
    <w:p>
      <w:pPr>
        <w:spacing w:line="400" w:lineRule="exact"/>
        <w:ind w:firstLine="480" w:firstLineChars="200"/>
        <w:rPr>
          <w:rFonts w:ascii="楷体" w:hAnsi="楷体" w:eastAsia="楷体"/>
          <w:sz w:val="24"/>
        </w:rPr>
      </w:pPr>
      <w:r>
        <w:rPr>
          <w:rFonts w:hint="eastAsia" w:ascii="楷体" w:hAnsi="楷体" w:eastAsia="楷体"/>
          <w:sz w:val="24"/>
        </w:rPr>
        <w:t xml:space="preserve">  A．具有独立承担民事责任的能力（提供法人或者其他组织的营业执照等证明文件，自然人的身份证明）；</w:t>
      </w:r>
    </w:p>
    <w:p>
      <w:pPr>
        <w:spacing w:line="400" w:lineRule="exact"/>
        <w:ind w:firstLine="480" w:firstLineChars="200"/>
        <w:rPr>
          <w:rFonts w:ascii="楷体" w:hAnsi="楷体" w:eastAsia="楷体"/>
          <w:sz w:val="24"/>
        </w:rPr>
      </w:pPr>
      <w:r>
        <w:rPr>
          <w:rFonts w:hint="eastAsia" w:ascii="楷体" w:hAnsi="楷体" w:eastAsia="楷体"/>
          <w:sz w:val="24"/>
        </w:rPr>
        <w:t xml:space="preserve">  B．具有良好的商业信誉和健全的财务会计制度（提供2019年度财务状况报告，成立不满一年提供至少1个月财务状况报告）；</w:t>
      </w:r>
    </w:p>
    <w:p>
      <w:pPr>
        <w:spacing w:line="400" w:lineRule="exact"/>
        <w:ind w:firstLine="480" w:firstLineChars="200"/>
        <w:rPr>
          <w:rFonts w:ascii="楷体" w:hAnsi="楷体" w:eastAsia="楷体"/>
          <w:sz w:val="24"/>
        </w:rPr>
      </w:pPr>
      <w:r>
        <w:rPr>
          <w:rFonts w:hint="eastAsia" w:ascii="楷体" w:hAnsi="楷体" w:eastAsia="楷体"/>
          <w:sz w:val="24"/>
        </w:rPr>
        <w:t xml:space="preserve">  C．具有履行合同所必需的设备和专业技术能力（供应商相关信息一览表【见磋商响应文件（格式）】）；</w:t>
      </w:r>
    </w:p>
    <w:p>
      <w:pPr>
        <w:spacing w:line="400" w:lineRule="exact"/>
        <w:ind w:firstLine="480" w:firstLineChars="200"/>
        <w:rPr>
          <w:rFonts w:ascii="楷体" w:hAnsi="楷体" w:eastAsia="楷体"/>
          <w:sz w:val="24"/>
        </w:rPr>
      </w:pPr>
      <w:r>
        <w:rPr>
          <w:rFonts w:hint="eastAsia" w:ascii="楷体" w:hAnsi="楷体" w:eastAsia="楷体"/>
          <w:sz w:val="24"/>
        </w:rPr>
        <w:t xml:space="preserve">  D．有依法缴纳税收和社会保障资金的良好记录（提供参加本次政府采购活动前半年内（至少一个月）依法缴纳税收和社会保险资金的相关材料）;</w:t>
      </w:r>
    </w:p>
    <w:p>
      <w:pPr>
        <w:spacing w:line="400" w:lineRule="exact"/>
        <w:ind w:firstLine="480" w:firstLineChars="200"/>
        <w:rPr>
          <w:rFonts w:ascii="楷体" w:hAnsi="楷体" w:eastAsia="楷体"/>
          <w:sz w:val="24"/>
        </w:rPr>
      </w:pPr>
      <w:r>
        <w:rPr>
          <w:rFonts w:hint="eastAsia" w:ascii="楷体" w:hAnsi="楷体" w:eastAsia="楷体"/>
          <w:sz w:val="24"/>
        </w:rPr>
        <w:t xml:space="preserve">  E．参加政府采购活动前三年内，在经营活动中没有重大违法记录（磋商承诺函第10条【见磋商响应文件（格式）】）;</w:t>
      </w:r>
    </w:p>
    <w:p>
      <w:pPr>
        <w:spacing w:line="400" w:lineRule="exact"/>
        <w:ind w:firstLine="480" w:firstLineChars="200"/>
        <w:rPr>
          <w:rFonts w:ascii="楷体" w:hAnsi="楷体" w:eastAsia="楷体"/>
          <w:sz w:val="24"/>
        </w:rPr>
      </w:pPr>
      <w:r>
        <w:rPr>
          <w:rFonts w:hint="eastAsia" w:ascii="楷体" w:hAnsi="楷体" w:eastAsia="楷体"/>
          <w:sz w:val="24"/>
        </w:rPr>
        <w:t xml:space="preserve">  F．法律、行政法规规定的其他条件（信用记录查询证明）；</w:t>
      </w:r>
    </w:p>
    <w:p>
      <w:pPr>
        <w:spacing w:line="400" w:lineRule="exact"/>
        <w:ind w:firstLine="480" w:firstLineChars="200"/>
        <w:rPr>
          <w:rFonts w:ascii="楷体" w:hAnsi="楷体" w:eastAsia="楷体"/>
          <w:sz w:val="24"/>
        </w:rPr>
      </w:pPr>
      <w:r>
        <w:rPr>
          <w:rFonts w:hint="eastAsia" w:ascii="楷体" w:hAnsi="楷体" w:eastAsia="楷体"/>
          <w:sz w:val="24"/>
        </w:rPr>
        <w:t>（2）合格的供应商2017年8月1日以来（以签订合同时间为准）有类似项目成功案例（提供合同等证明文件）。</w:t>
      </w:r>
    </w:p>
    <w:p>
      <w:pPr>
        <w:tabs>
          <w:tab w:val="left" w:pos="900"/>
        </w:tabs>
        <w:spacing w:line="400" w:lineRule="exact"/>
        <w:ind w:firstLine="588" w:firstLineChars="245"/>
        <w:rPr>
          <w:rFonts w:ascii="楷体" w:hAnsi="楷体" w:eastAsia="楷体"/>
          <w:sz w:val="24"/>
        </w:rPr>
      </w:pPr>
      <w:r>
        <w:rPr>
          <w:rFonts w:hint="eastAsia" w:ascii="楷体" w:hAnsi="楷体" w:eastAsia="楷体"/>
          <w:sz w:val="24"/>
        </w:rPr>
        <w:t>二、磋商文件领取时间、地点及联系人</w:t>
      </w:r>
    </w:p>
    <w:p>
      <w:pPr>
        <w:tabs>
          <w:tab w:val="left" w:pos="900"/>
        </w:tabs>
        <w:spacing w:line="400" w:lineRule="exact"/>
        <w:ind w:firstLine="588" w:firstLineChars="245"/>
        <w:rPr>
          <w:rFonts w:ascii="楷体" w:hAnsi="楷体" w:eastAsia="楷体"/>
          <w:sz w:val="24"/>
        </w:rPr>
      </w:pPr>
      <w:r>
        <w:rPr>
          <w:rFonts w:hint="eastAsia" w:ascii="楷体" w:hAnsi="楷体" w:eastAsia="楷体"/>
          <w:sz w:val="24"/>
        </w:rPr>
        <w:t>时间：2020年 9月7日至2020年 9月9日，北京时间上午8：30至11：30 ，下午14：00至17：30（节假日除外）</w:t>
      </w:r>
    </w:p>
    <w:p>
      <w:pPr>
        <w:spacing w:line="400" w:lineRule="exact"/>
        <w:ind w:firstLine="480" w:firstLineChars="200"/>
        <w:rPr>
          <w:rFonts w:ascii="楷体" w:hAnsi="楷体" w:eastAsia="楷体"/>
          <w:sz w:val="24"/>
        </w:rPr>
      </w:pPr>
      <w:r>
        <w:rPr>
          <w:rFonts w:hint="eastAsia" w:ascii="楷体" w:hAnsi="楷体" w:eastAsia="楷体"/>
          <w:sz w:val="24"/>
        </w:rPr>
        <w:t>地点： 宝华花山人家项目部</w:t>
      </w:r>
    </w:p>
    <w:p>
      <w:pPr>
        <w:spacing w:line="400" w:lineRule="exact"/>
        <w:ind w:firstLine="480" w:firstLineChars="200"/>
        <w:rPr>
          <w:rFonts w:ascii="楷体" w:hAnsi="楷体" w:eastAsia="楷体"/>
          <w:sz w:val="24"/>
        </w:rPr>
      </w:pPr>
      <w:r>
        <w:rPr>
          <w:rFonts w:hint="eastAsia" w:ascii="楷体" w:hAnsi="楷体" w:eastAsia="楷体"/>
          <w:sz w:val="24"/>
        </w:rPr>
        <w:t xml:space="preserve">联系人：王德贵            联系电话： 13775387308   </w:t>
      </w:r>
    </w:p>
    <w:p>
      <w:pPr>
        <w:spacing w:line="400" w:lineRule="exact"/>
        <w:ind w:firstLine="422" w:firstLineChars="200"/>
        <w:rPr>
          <w:rFonts w:ascii="宋体" w:hAnsi="宋体"/>
          <w:b/>
          <w:szCs w:val="21"/>
        </w:rPr>
      </w:pPr>
      <w:r>
        <w:rPr>
          <w:rFonts w:hint="eastAsia" w:ascii="宋体" w:hAnsi="宋体"/>
          <w:b/>
          <w:szCs w:val="21"/>
        </w:rPr>
        <w:t>登记领取磋商文件时需提供下列材料：（复印件须加盖公章）</w:t>
      </w:r>
    </w:p>
    <w:p>
      <w:pPr>
        <w:tabs>
          <w:tab w:val="left" w:pos="900"/>
        </w:tabs>
        <w:spacing w:line="400" w:lineRule="exact"/>
        <w:rPr>
          <w:rFonts w:ascii="楷体" w:hAnsi="楷体" w:eastAsia="楷体"/>
          <w:b/>
          <w:bCs/>
          <w:kern w:val="0"/>
          <w:sz w:val="24"/>
        </w:rPr>
      </w:pPr>
      <w:r>
        <w:rPr>
          <w:rFonts w:hint="eastAsia" w:ascii="楷体" w:hAnsi="楷体" w:eastAsia="楷体"/>
          <w:sz w:val="24"/>
        </w:rPr>
        <w:t>（</w:t>
      </w:r>
      <w:r>
        <w:rPr>
          <w:rFonts w:ascii="楷体" w:hAnsi="楷体" w:eastAsia="楷体"/>
          <w:sz w:val="24"/>
        </w:rPr>
        <w:t>1</w:t>
      </w:r>
      <w:r>
        <w:rPr>
          <w:rFonts w:hint="eastAsia" w:ascii="楷体" w:hAnsi="楷体" w:eastAsia="楷体"/>
          <w:sz w:val="24"/>
        </w:rPr>
        <w:t>）营业执照（复印件）；（</w:t>
      </w:r>
      <w:r>
        <w:rPr>
          <w:rFonts w:ascii="楷体" w:hAnsi="楷体" w:eastAsia="楷体"/>
          <w:sz w:val="24"/>
        </w:rPr>
        <w:t>2</w:t>
      </w:r>
      <w:r>
        <w:rPr>
          <w:rFonts w:hint="eastAsia" w:ascii="楷体" w:hAnsi="楷体" w:eastAsia="楷体"/>
          <w:sz w:val="24"/>
        </w:rPr>
        <w:t>）单位介绍信或法人授权书；本套磋商采购文件售价人民币叁佰元整，售后不退。</w:t>
      </w:r>
      <w:r>
        <w:rPr>
          <w:rFonts w:hint="eastAsia" w:ascii="楷体" w:hAnsi="楷体" w:eastAsia="楷体"/>
          <w:bCs/>
          <w:kern w:val="0"/>
          <w:sz w:val="24"/>
        </w:rPr>
        <w:t>注：本项目采用资格后审的方式，登记领取磋商文件成功并不代表供应商竞标文件通过资格性审查。没有登记领取磋商文件的供应商，其磋商响应文件将被拒绝。（3）招标文件300元，现金递交，售后不退。</w:t>
      </w:r>
    </w:p>
    <w:p>
      <w:pPr>
        <w:pStyle w:val="49"/>
        <w:adjustRightInd w:val="0"/>
        <w:snapToGrid w:val="0"/>
        <w:spacing w:before="0" w:beforeAutospacing="0" w:after="0" w:afterAutospacing="0" w:line="400" w:lineRule="exact"/>
        <w:ind w:firstLine="361" w:firstLineChars="150"/>
        <w:rPr>
          <w:rFonts w:ascii="楷体" w:hAnsi="楷体" w:eastAsia="楷体"/>
          <w:color w:val="auto"/>
          <w:kern w:val="2"/>
        </w:rPr>
      </w:pPr>
      <w:r>
        <w:rPr>
          <w:rFonts w:hint="eastAsia" w:ascii="楷体" w:hAnsi="楷体" w:eastAsia="楷体"/>
          <w:b/>
          <w:bCs/>
          <w:color w:val="auto"/>
        </w:rPr>
        <w:t>三、采购范围及要求</w:t>
      </w:r>
      <w:r>
        <w:rPr>
          <w:rFonts w:hint="eastAsia" w:ascii="楷体" w:hAnsi="楷体" w:eastAsia="楷体"/>
          <w:bCs/>
          <w:color w:val="auto"/>
        </w:rPr>
        <w:t>:</w:t>
      </w:r>
      <w:r>
        <w:rPr>
          <w:rFonts w:hint="eastAsia" w:ascii="楷体" w:hAnsi="楷体" w:eastAsia="楷体"/>
          <w:color w:val="auto"/>
          <w:kern w:val="2"/>
        </w:rPr>
        <w:t>一体化MBR设备及其配套设备的供应、运输、</w:t>
      </w:r>
      <w:r>
        <w:rPr>
          <w:rFonts w:hint="eastAsia" w:ascii="楷体" w:hAnsi="楷体" w:eastAsia="楷体"/>
          <w:color w:val="auto"/>
          <w:kern w:val="2"/>
          <w:lang w:val="en-US" w:eastAsia="zh-CN"/>
        </w:rPr>
        <w:t>吊装、</w:t>
      </w:r>
      <w:r>
        <w:rPr>
          <w:rFonts w:hint="eastAsia" w:ascii="楷体" w:hAnsi="楷体" w:eastAsia="楷体"/>
          <w:color w:val="auto"/>
          <w:kern w:val="2"/>
        </w:rPr>
        <w:t>安装、维修、人员培训及售后服务等，详细内容详见本磋商文件第四部分项目采购要求。本</w:t>
      </w:r>
      <w:r>
        <w:rPr>
          <w:rFonts w:ascii="楷体" w:hAnsi="楷体" w:eastAsia="楷体"/>
          <w:color w:val="auto"/>
          <w:kern w:val="2"/>
        </w:rPr>
        <w:t>项目预算为</w:t>
      </w:r>
      <w:r>
        <w:rPr>
          <w:rFonts w:hint="eastAsia" w:ascii="楷体" w:hAnsi="楷体" w:eastAsia="楷体"/>
          <w:color w:val="auto"/>
          <w:kern w:val="2"/>
        </w:rPr>
        <w:t>65万元（含13%的税，包含设备、</w:t>
      </w:r>
      <w:r>
        <w:rPr>
          <w:rFonts w:hint="eastAsia" w:ascii="楷体" w:hAnsi="楷体" w:eastAsia="楷体"/>
          <w:color w:val="auto"/>
          <w:kern w:val="2"/>
          <w:lang w:val="en-US" w:eastAsia="zh-CN"/>
        </w:rPr>
        <w:t>吊装、</w:t>
      </w:r>
      <w:r>
        <w:rPr>
          <w:rFonts w:hint="eastAsia" w:ascii="楷体" w:hAnsi="楷体" w:eastAsia="楷体"/>
          <w:color w:val="auto"/>
          <w:kern w:val="2"/>
        </w:rPr>
        <w:t>安装调试、质保期内维修费用、运输、招标代理费用等），报价超过预算按无效响应处理。</w:t>
      </w:r>
    </w:p>
    <w:p>
      <w:pPr>
        <w:spacing w:line="400" w:lineRule="exact"/>
        <w:ind w:firstLine="480" w:firstLineChars="200"/>
        <w:rPr>
          <w:rFonts w:ascii="楷体" w:hAnsi="楷体" w:eastAsia="楷体"/>
          <w:bCs/>
          <w:sz w:val="24"/>
        </w:rPr>
      </w:pPr>
      <w:r>
        <w:rPr>
          <w:rFonts w:hint="eastAsia" w:ascii="楷体" w:hAnsi="楷体" w:eastAsia="楷体"/>
          <w:bCs/>
          <w:sz w:val="24"/>
        </w:rPr>
        <w:t>四、采购人、采购方式及成交供应商数量：</w:t>
      </w:r>
    </w:p>
    <w:p>
      <w:pPr>
        <w:spacing w:line="400" w:lineRule="exact"/>
        <w:ind w:firstLine="480" w:firstLineChars="200"/>
        <w:rPr>
          <w:rFonts w:ascii="楷体" w:hAnsi="楷体" w:eastAsia="楷体" w:cs="隶书"/>
          <w:sz w:val="24"/>
        </w:rPr>
      </w:pPr>
      <w:r>
        <w:rPr>
          <w:rFonts w:hint="eastAsia" w:ascii="楷体" w:hAnsi="楷体" w:eastAsia="楷体"/>
          <w:bCs/>
          <w:sz w:val="24"/>
        </w:rPr>
        <w:t>（1）采购人：</w:t>
      </w:r>
      <w:r>
        <w:rPr>
          <w:rFonts w:hint="eastAsia" w:ascii="楷体" w:hAnsi="楷体" w:eastAsia="楷体" w:cs="隶书"/>
          <w:sz w:val="24"/>
        </w:rPr>
        <w:t xml:space="preserve">江苏物宝建设工程有限公司 </w:t>
      </w:r>
    </w:p>
    <w:p>
      <w:pPr>
        <w:spacing w:line="400" w:lineRule="exact"/>
        <w:ind w:firstLine="480" w:firstLineChars="200"/>
        <w:rPr>
          <w:rFonts w:ascii="楷体" w:hAnsi="楷体" w:eastAsia="楷体" w:cs="隶书"/>
          <w:sz w:val="24"/>
        </w:rPr>
      </w:pPr>
      <w:r>
        <w:rPr>
          <w:rFonts w:hint="eastAsia" w:ascii="楷体" w:hAnsi="楷体" w:eastAsia="楷体" w:cs="隶书"/>
          <w:sz w:val="24"/>
        </w:rPr>
        <w:t xml:space="preserve">地址：句容市宝华镇宝华花园人设中心三楼   </w:t>
      </w:r>
    </w:p>
    <w:p>
      <w:pPr>
        <w:spacing w:line="400" w:lineRule="exact"/>
        <w:ind w:firstLine="480" w:firstLineChars="200"/>
        <w:rPr>
          <w:rFonts w:ascii="楷体" w:hAnsi="楷体" w:eastAsia="楷体" w:cs="隶书"/>
          <w:sz w:val="24"/>
        </w:rPr>
      </w:pPr>
      <w:r>
        <w:rPr>
          <w:rFonts w:hint="eastAsia" w:ascii="楷体" w:hAnsi="楷体" w:eastAsia="楷体" w:cs="隶书"/>
          <w:sz w:val="24"/>
        </w:rPr>
        <w:t xml:space="preserve">联系人：吴习强         </w:t>
      </w:r>
    </w:p>
    <w:p>
      <w:pPr>
        <w:spacing w:line="400" w:lineRule="exact"/>
        <w:ind w:firstLine="480" w:firstLineChars="200"/>
        <w:rPr>
          <w:rFonts w:ascii="楷体" w:hAnsi="楷体" w:eastAsia="楷体"/>
          <w:sz w:val="24"/>
        </w:rPr>
      </w:pPr>
      <w:r>
        <w:rPr>
          <w:rFonts w:hint="eastAsia" w:ascii="楷体" w:hAnsi="楷体" w:eastAsia="楷体"/>
          <w:sz w:val="24"/>
        </w:rPr>
        <w:t>（2）本次采购采用竞争性磋商方式（本项目不接受联合体竞标）。</w:t>
      </w:r>
    </w:p>
    <w:p>
      <w:pPr>
        <w:spacing w:line="400" w:lineRule="exact"/>
        <w:ind w:firstLine="480" w:firstLineChars="200"/>
        <w:rPr>
          <w:rFonts w:ascii="楷体" w:hAnsi="楷体" w:eastAsia="楷体"/>
          <w:sz w:val="24"/>
        </w:rPr>
      </w:pPr>
      <w:r>
        <w:rPr>
          <w:rFonts w:hint="eastAsia" w:ascii="楷体" w:hAnsi="楷体" w:eastAsia="楷体"/>
          <w:sz w:val="24"/>
        </w:rPr>
        <w:t>（3）本次采购确定的成交供应商数量：1名。</w:t>
      </w:r>
    </w:p>
    <w:p>
      <w:pPr>
        <w:spacing w:line="400" w:lineRule="exact"/>
        <w:ind w:firstLine="480" w:firstLineChars="200"/>
        <w:rPr>
          <w:rFonts w:ascii="楷体" w:hAnsi="楷体" w:eastAsia="楷体"/>
          <w:sz w:val="24"/>
        </w:rPr>
      </w:pPr>
      <w:r>
        <w:rPr>
          <w:rFonts w:hint="eastAsia" w:ascii="楷体" w:hAnsi="楷体" w:eastAsia="楷体"/>
          <w:sz w:val="24"/>
        </w:rPr>
        <w:t>五、磋商保证金：</w:t>
      </w:r>
    </w:p>
    <w:p>
      <w:pPr>
        <w:spacing w:line="400" w:lineRule="exact"/>
        <w:ind w:firstLine="480" w:firstLineChars="200"/>
        <w:rPr>
          <w:rFonts w:ascii="楷体" w:hAnsi="楷体" w:eastAsia="楷体"/>
          <w:sz w:val="24"/>
          <w:highlight w:val="yellow"/>
        </w:rPr>
      </w:pPr>
      <w:r>
        <w:rPr>
          <w:rFonts w:hint="eastAsia" w:ascii="楷体" w:hAnsi="楷体" w:eastAsia="楷体"/>
          <w:sz w:val="24"/>
        </w:rPr>
        <w:t>本次磋商收取保证金。供应商在磋商时，</w:t>
      </w:r>
      <w:r>
        <w:rPr>
          <w:rFonts w:hint="eastAsia" w:ascii="楷体" w:hAnsi="楷体" w:eastAsia="楷体"/>
          <w:color w:val="000000" w:themeColor="text1"/>
          <w:sz w:val="24"/>
        </w:rPr>
        <w:t>需交纳人民币5000元（人民币伍仟元整）的磋商保证金给江苏省华厦工程项目管理有限公司：磋商保证金可接受电汇、网上银行支付、现金等形式交纳。磋商保证金必须在磋商截止时间前到达江苏省华厦工程项目管理有限公司银行帐户，否则磋商响应无效，确定中标单位后按原汇款方式退还磋商保证金。</w:t>
      </w:r>
    </w:p>
    <w:p>
      <w:pPr>
        <w:spacing w:line="400" w:lineRule="exact"/>
        <w:ind w:firstLine="480" w:firstLineChars="200"/>
        <w:rPr>
          <w:rFonts w:ascii="楷体" w:hAnsi="楷体" w:eastAsia="楷体"/>
          <w:sz w:val="24"/>
        </w:rPr>
      </w:pPr>
      <w:r>
        <w:rPr>
          <w:rFonts w:hint="eastAsia" w:ascii="楷体" w:hAnsi="楷体" w:eastAsia="楷体"/>
          <w:sz w:val="24"/>
        </w:rPr>
        <w:t xml:space="preserve">开户名称：江苏省华厦工程项目管理有限公司 </w:t>
      </w:r>
    </w:p>
    <w:p>
      <w:pPr>
        <w:spacing w:line="400" w:lineRule="exact"/>
        <w:ind w:firstLine="480" w:firstLineChars="200"/>
        <w:rPr>
          <w:rFonts w:ascii="楷体" w:hAnsi="楷体" w:eastAsia="楷体"/>
          <w:sz w:val="24"/>
        </w:rPr>
      </w:pPr>
      <w:r>
        <w:rPr>
          <w:rFonts w:hint="eastAsia" w:ascii="楷体" w:hAnsi="楷体" w:eastAsia="楷体"/>
          <w:sz w:val="24"/>
        </w:rPr>
        <w:t>开户银行：中国建设银行南京鼓楼支行</w:t>
      </w:r>
    </w:p>
    <w:p>
      <w:pPr>
        <w:spacing w:line="400" w:lineRule="exact"/>
        <w:ind w:firstLine="480" w:firstLineChars="200"/>
        <w:rPr>
          <w:rFonts w:ascii="楷体" w:hAnsi="楷体" w:eastAsia="楷体"/>
          <w:sz w:val="24"/>
        </w:rPr>
      </w:pPr>
      <w:r>
        <w:rPr>
          <w:rFonts w:hint="eastAsia" w:ascii="楷体" w:hAnsi="楷体" w:eastAsia="楷体"/>
          <w:sz w:val="24"/>
        </w:rPr>
        <w:t xml:space="preserve">账    号：32001595536052502820 </w:t>
      </w:r>
    </w:p>
    <w:p>
      <w:pPr>
        <w:spacing w:line="400" w:lineRule="exact"/>
        <w:ind w:firstLine="480" w:firstLineChars="200"/>
        <w:rPr>
          <w:rFonts w:ascii="楷体" w:hAnsi="楷体" w:eastAsia="楷体"/>
          <w:sz w:val="24"/>
        </w:rPr>
      </w:pPr>
      <w:r>
        <w:rPr>
          <w:rFonts w:ascii="楷体" w:hAnsi="楷体" w:eastAsia="楷体"/>
          <w:sz w:val="24"/>
        </w:rPr>
        <w:t>六、</w:t>
      </w:r>
      <w:r>
        <w:rPr>
          <w:rFonts w:hint="eastAsia" w:ascii="楷体" w:hAnsi="楷体" w:eastAsia="楷体"/>
          <w:sz w:val="24"/>
        </w:rPr>
        <w:t>递交磋商响应文件地点：句容市宝华镇宝华花园人社中心隔壁三楼江苏宝华新城建设发展集团有限公司会议室</w:t>
      </w:r>
    </w:p>
    <w:p>
      <w:pPr>
        <w:spacing w:line="400" w:lineRule="exact"/>
        <w:ind w:firstLine="480" w:firstLineChars="200"/>
        <w:rPr>
          <w:rFonts w:ascii="楷体" w:hAnsi="楷体" w:eastAsia="楷体"/>
          <w:sz w:val="24"/>
        </w:rPr>
      </w:pPr>
      <w:r>
        <w:rPr>
          <w:rFonts w:hint="eastAsia" w:ascii="楷体" w:hAnsi="楷体" w:eastAsia="楷体"/>
          <w:sz w:val="24"/>
        </w:rPr>
        <w:t>七、递交磋商响应文件时间：2020年9 月 11日北京时间上午9：00至9:30（截止时间），逾期送达将作无效响应处理。</w:t>
      </w:r>
    </w:p>
    <w:p>
      <w:pPr>
        <w:spacing w:line="400" w:lineRule="exact"/>
        <w:ind w:firstLine="480" w:firstLineChars="200"/>
        <w:rPr>
          <w:rFonts w:ascii="楷体" w:hAnsi="楷体" w:eastAsia="楷体"/>
          <w:b/>
          <w:sz w:val="36"/>
        </w:rPr>
      </w:pPr>
      <w:r>
        <w:rPr>
          <w:rFonts w:hint="eastAsia" w:ascii="楷体" w:hAnsi="楷体" w:eastAsia="楷体"/>
          <w:sz w:val="24"/>
        </w:rPr>
        <w:t>八、磋商时间：2020年9 月11日北京时间上午9:30。</w:t>
      </w:r>
      <w:bookmarkEnd w:id="5"/>
      <w:bookmarkEnd w:id="6"/>
      <w:bookmarkStart w:id="7" w:name="_Toc92168000"/>
      <w:bookmarkStart w:id="8" w:name="_Toc101264814"/>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widowControl/>
        <w:jc w:val="left"/>
        <w:rPr>
          <w:rFonts w:ascii="楷体" w:hAnsi="楷体" w:eastAsia="楷体"/>
          <w:b/>
          <w:sz w:val="36"/>
        </w:rPr>
      </w:pPr>
    </w:p>
    <w:p>
      <w:pPr>
        <w:widowControl/>
        <w:jc w:val="left"/>
        <w:rPr>
          <w:rFonts w:ascii="楷体" w:hAnsi="楷体" w:eastAsia="楷体"/>
          <w:b/>
          <w:sz w:val="36"/>
        </w:rPr>
      </w:pPr>
    </w:p>
    <w:p>
      <w:pPr>
        <w:widowControl/>
        <w:jc w:val="left"/>
        <w:rPr>
          <w:rFonts w:ascii="楷体" w:hAnsi="楷体" w:eastAsia="楷体"/>
          <w:b/>
          <w:sz w:val="36"/>
        </w:rPr>
      </w:pPr>
    </w:p>
    <w:p>
      <w:pPr>
        <w:ind w:firstLine="723" w:firstLineChars="200"/>
        <w:jc w:val="center"/>
        <w:rPr>
          <w:rFonts w:ascii="楷体" w:hAnsi="楷体" w:eastAsia="楷体"/>
          <w:b/>
          <w:sz w:val="24"/>
        </w:rPr>
      </w:pPr>
      <w:r>
        <w:rPr>
          <w:rFonts w:hint="eastAsia" w:ascii="楷体" w:hAnsi="楷体" w:eastAsia="楷体"/>
          <w:b/>
          <w:sz w:val="36"/>
        </w:rPr>
        <w:t>第二部分</w:t>
      </w:r>
      <w:bookmarkEnd w:id="7"/>
      <w:bookmarkEnd w:id="8"/>
      <w:r>
        <w:rPr>
          <w:rFonts w:hint="eastAsia" w:ascii="楷体" w:hAnsi="楷体" w:eastAsia="楷体"/>
          <w:b/>
          <w:sz w:val="36"/>
        </w:rPr>
        <w:t xml:space="preserve">   供应商须知</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一、总  则</w:t>
      </w:r>
    </w:p>
    <w:p>
      <w:pPr>
        <w:pStyle w:val="4"/>
        <w:keepNext w:val="0"/>
        <w:keepLines w:val="0"/>
        <w:spacing w:after="0" w:line="500" w:lineRule="exact"/>
        <w:rPr>
          <w:rFonts w:ascii="楷体" w:hAnsi="楷体" w:eastAsia="楷体"/>
          <w:sz w:val="30"/>
        </w:rPr>
      </w:pPr>
      <w:bookmarkStart w:id="9" w:name="_Toc92168001"/>
      <w:bookmarkStart w:id="10" w:name="_Toc101264815"/>
      <w:r>
        <w:rPr>
          <w:rFonts w:hint="eastAsia" w:ascii="楷体" w:hAnsi="楷体" w:eastAsia="楷体"/>
          <w:sz w:val="30"/>
        </w:rPr>
        <w:t>1、适用范围</w:t>
      </w:r>
      <w:bookmarkEnd w:id="9"/>
      <w:bookmarkEnd w:id="10"/>
    </w:p>
    <w:p>
      <w:pPr>
        <w:spacing w:line="500" w:lineRule="exact"/>
        <w:ind w:firstLine="480" w:firstLineChars="200"/>
        <w:rPr>
          <w:rFonts w:ascii="楷体" w:hAnsi="楷体" w:eastAsia="楷体"/>
          <w:sz w:val="24"/>
        </w:rPr>
      </w:pPr>
      <w:r>
        <w:rPr>
          <w:rFonts w:hint="eastAsia" w:ascii="楷体" w:hAnsi="楷体" w:eastAsia="楷体"/>
          <w:sz w:val="24"/>
        </w:rPr>
        <w:t>1.1 本磋商文件仅适用于金地格林及景阳广场水环境治理工程污水处理设备采购及安装项目。</w:t>
      </w:r>
    </w:p>
    <w:p>
      <w:pPr>
        <w:pStyle w:val="4"/>
        <w:keepNext w:val="0"/>
        <w:keepLines w:val="0"/>
        <w:spacing w:after="0" w:line="500" w:lineRule="exact"/>
        <w:rPr>
          <w:rFonts w:ascii="楷体" w:hAnsi="楷体" w:eastAsia="楷体"/>
          <w:sz w:val="30"/>
        </w:rPr>
      </w:pPr>
      <w:bookmarkStart w:id="11" w:name="_Toc92168002"/>
      <w:bookmarkStart w:id="12" w:name="_Toc101264816"/>
      <w:r>
        <w:rPr>
          <w:rFonts w:hint="eastAsia" w:ascii="楷体" w:hAnsi="楷体" w:eastAsia="楷体"/>
          <w:sz w:val="30"/>
        </w:rPr>
        <w:t>2、</w:t>
      </w:r>
      <w:r>
        <w:rPr>
          <w:rFonts w:hint="eastAsia" w:ascii="楷体" w:hAnsi="楷体" w:eastAsia="楷体"/>
          <w:sz w:val="30"/>
          <w:szCs w:val="30"/>
        </w:rPr>
        <w:t>定义</w:t>
      </w:r>
      <w:bookmarkEnd w:id="11"/>
      <w:bookmarkEnd w:id="12"/>
    </w:p>
    <w:p>
      <w:pPr>
        <w:spacing w:line="500" w:lineRule="exact"/>
        <w:ind w:firstLine="480" w:firstLineChars="200"/>
        <w:rPr>
          <w:rFonts w:ascii="楷体" w:hAnsi="楷体" w:eastAsia="楷体"/>
          <w:sz w:val="24"/>
        </w:rPr>
      </w:pPr>
      <w:r>
        <w:rPr>
          <w:rFonts w:hint="eastAsia" w:ascii="楷体" w:hAnsi="楷体" w:eastAsia="楷体"/>
          <w:sz w:val="24"/>
        </w:rPr>
        <w:t>磋商文件中下列术语应解释为：</w:t>
      </w:r>
    </w:p>
    <w:p>
      <w:pPr>
        <w:spacing w:line="500" w:lineRule="exact"/>
        <w:ind w:firstLine="480" w:firstLineChars="200"/>
        <w:rPr>
          <w:rFonts w:ascii="楷体" w:hAnsi="楷体" w:eastAsia="楷体"/>
          <w:sz w:val="24"/>
        </w:rPr>
      </w:pPr>
      <w:r>
        <w:rPr>
          <w:rFonts w:hint="eastAsia" w:ascii="楷体" w:hAnsi="楷体" w:eastAsia="楷体"/>
          <w:sz w:val="24"/>
        </w:rPr>
        <w:t>2.1“磋商组织方”系指采购代理机构，即：</w:t>
      </w:r>
      <w:r>
        <w:rPr>
          <w:rFonts w:hint="eastAsia" w:ascii="楷体" w:hAnsi="楷体" w:eastAsia="楷体"/>
          <w:b/>
          <w:sz w:val="24"/>
          <w:u w:val="single"/>
        </w:rPr>
        <w:t>江苏省华厦工程项目管理有限公司</w:t>
      </w:r>
      <w:r>
        <w:rPr>
          <w:rFonts w:hint="eastAsia" w:ascii="楷体" w:hAnsi="楷体" w:eastAsia="楷体"/>
          <w:sz w:val="24"/>
        </w:rPr>
        <w:t>。</w:t>
      </w:r>
    </w:p>
    <w:p>
      <w:pPr>
        <w:spacing w:line="500" w:lineRule="exact"/>
        <w:ind w:firstLine="480" w:firstLineChars="200"/>
        <w:rPr>
          <w:rFonts w:ascii="楷体" w:hAnsi="楷体" w:eastAsia="楷体"/>
          <w:sz w:val="24"/>
        </w:rPr>
      </w:pPr>
      <w:bookmarkStart w:id="13" w:name="_Toc92168003"/>
      <w:bookmarkStart w:id="14" w:name="_Toc101264817"/>
      <w:r>
        <w:rPr>
          <w:rFonts w:hint="eastAsia" w:ascii="楷体" w:hAnsi="楷体" w:eastAsia="楷体"/>
          <w:sz w:val="24"/>
        </w:rPr>
        <w:t>2.2“采购人”系指委托采购人，即：</w:t>
      </w:r>
      <w:r>
        <w:rPr>
          <w:rFonts w:hint="eastAsia" w:ascii="楷体" w:hAnsi="楷体" w:eastAsia="楷体"/>
          <w:b/>
          <w:bCs/>
          <w:sz w:val="24"/>
          <w:u w:val="single"/>
        </w:rPr>
        <w:t>江苏物宝建设工程有限公司</w:t>
      </w:r>
      <w:r>
        <w:rPr>
          <w:rFonts w:hint="eastAsia" w:ascii="楷体" w:hAnsi="楷体" w:eastAsia="楷体"/>
          <w:sz w:val="24"/>
        </w:rPr>
        <w:t>。</w:t>
      </w:r>
    </w:p>
    <w:p>
      <w:pPr>
        <w:spacing w:line="500" w:lineRule="exact"/>
        <w:ind w:firstLine="480" w:firstLineChars="200"/>
        <w:rPr>
          <w:rFonts w:ascii="楷体" w:hAnsi="楷体" w:eastAsia="楷体"/>
          <w:sz w:val="24"/>
        </w:rPr>
      </w:pPr>
      <w:r>
        <w:rPr>
          <w:rFonts w:hint="eastAsia" w:ascii="楷体" w:hAnsi="楷体" w:eastAsia="楷体"/>
          <w:sz w:val="24"/>
        </w:rPr>
        <w:t>2.3“供应商”系指向磋商组织方提交磋商响应文件的供应商。</w:t>
      </w:r>
    </w:p>
    <w:p>
      <w:pPr>
        <w:spacing w:line="500" w:lineRule="exact"/>
        <w:ind w:firstLine="480" w:firstLineChars="200"/>
        <w:rPr>
          <w:rFonts w:ascii="楷体" w:hAnsi="楷体" w:eastAsia="楷体"/>
          <w:sz w:val="24"/>
        </w:rPr>
      </w:pPr>
      <w:r>
        <w:rPr>
          <w:rFonts w:hint="eastAsia" w:ascii="楷体" w:hAnsi="楷体" w:eastAsia="楷体"/>
          <w:sz w:val="24"/>
        </w:rPr>
        <w:t>2.4“工程”系指本次采购范围内所描述的智能分流井成套设备采购及安装项目。</w:t>
      </w:r>
    </w:p>
    <w:p>
      <w:pPr>
        <w:spacing w:line="500" w:lineRule="exact"/>
        <w:ind w:firstLine="480" w:firstLineChars="200"/>
        <w:rPr>
          <w:rFonts w:ascii="楷体" w:hAnsi="楷体" w:eastAsia="楷体"/>
          <w:sz w:val="24"/>
        </w:rPr>
      </w:pPr>
      <w:r>
        <w:rPr>
          <w:rFonts w:hint="eastAsia" w:ascii="楷体" w:hAnsi="楷体" w:eastAsia="楷体"/>
          <w:sz w:val="24"/>
        </w:rPr>
        <w:t>2.5“服务”系指合同规定供应商必须承担的工程服务，服务亦包括磋商文件中特别描述的其它形式的服务。</w:t>
      </w:r>
    </w:p>
    <w:p>
      <w:pPr>
        <w:pStyle w:val="4"/>
        <w:keepNext w:val="0"/>
        <w:keepLines w:val="0"/>
        <w:spacing w:after="0" w:line="500" w:lineRule="exact"/>
        <w:rPr>
          <w:rFonts w:ascii="楷体" w:hAnsi="楷体" w:eastAsia="楷体"/>
          <w:sz w:val="30"/>
          <w:szCs w:val="30"/>
        </w:rPr>
      </w:pPr>
      <w:r>
        <w:rPr>
          <w:rFonts w:hint="eastAsia" w:ascii="楷体" w:hAnsi="楷体" w:eastAsia="楷体"/>
          <w:sz w:val="30"/>
          <w:szCs w:val="30"/>
        </w:rPr>
        <w:t>3、本次采购方式</w:t>
      </w:r>
      <w:bookmarkEnd w:id="13"/>
      <w:bookmarkEnd w:id="14"/>
      <w:r>
        <w:rPr>
          <w:rFonts w:hint="eastAsia" w:ascii="楷体" w:hAnsi="楷体" w:eastAsia="楷体"/>
          <w:sz w:val="30"/>
          <w:szCs w:val="30"/>
        </w:rPr>
        <w:t>、合格的供应商</w:t>
      </w:r>
    </w:p>
    <w:p>
      <w:pPr>
        <w:spacing w:line="500" w:lineRule="exact"/>
        <w:ind w:firstLine="480" w:firstLineChars="200"/>
        <w:rPr>
          <w:rFonts w:ascii="楷体" w:hAnsi="楷体" w:eastAsia="楷体"/>
          <w:sz w:val="24"/>
        </w:rPr>
      </w:pPr>
      <w:r>
        <w:rPr>
          <w:rFonts w:hint="eastAsia" w:ascii="楷体" w:hAnsi="楷体" w:eastAsia="楷体"/>
          <w:sz w:val="24"/>
        </w:rPr>
        <w:t>3.1本次采购采取竞争性磋商方式。</w:t>
      </w:r>
    </w:p>
    <w:p>
      <w:pPr>
        <w:spacing w:line="500" w:lineRule="exact"/>
        <w:ind w:firstLine="480" w:firstLineChars="200"/>
        <w:rPr>
          <w:rFonts w:ascii="楷体" w:hAnsi="楷体" w:eastAsia="楷体"/>
          <w:sz w:val="24"/>
        </w:rPr>
      </w:pPr>
      <w:r>
        <w:rPr>
          <w:rFonts w:hint="eastAsia" w:ascii="楷体" w:hAnsi="楷体" w:eastAsia="楷体"/>
          <w:sz w:val="24"/>
        </w:rPr>
        <w:t>3.2 合格的供应商必须符合磋商公告资格条件要求。</w:t>
      </w:r>
    </w:p>
    <w:bookmarkEnd w:id="4"/>
    <w:p>
      <w:pPr>
        <w:pStyle w:val="4"/>
        <w:keepNext w:val="0"/>
        <w:keepLines w:val="0"/>
        <w:spacing w:after="0" w:line="500" w:lineRule="exact"/>
        <w:jc w:val="left"/>
        <w:rPr>
          <w:rFonts w:ascii="楷体" w:hAnsi="楷体" w:eastAsia="楷体"/>
          <w:sz w:val="30"/>
        </w:rPr>
      </w:pPr>
      <w:bookmarkStart w:id="15" w:name="_Toc20732971"/>
      <w:bookmarkStart w:id="16" w:name="_Toc98669693"/>
      <w:bookmarkStart w:id="17" w:name="_Toc92168004"/>
      <w:bookmarkStart w:id="18" w:name="_Toc101264818"/>
      <w:bookmarkStart w:id="19" w:name="_Toc98669335"/>
      <w:r>
        <w:rPr>
          <w:rFonts w:hint="eastAsia" w:ascii="楷体" w:hAnsi="楷体" w:eastAsia="楷体"/>
          <w:sz w:val="30"/>
        </w:rPr>
        <w:t>4、磋商费用</w:t>
      </w:r>
      <w:bookmarkEnd w:id="15"/>
      <w:bookmarkEnd w:id="16"/>
      <w:bookmarkEnd w:id="17"/>
      <w:bookmarkEnd w:id="18"/>
      <w:bookmarkEnd w:id="19"/>
    </w:p>
    <w:p>
      <w:pPr>
        <w:spacing w:line="500" w:lineRule="exact"/>
        <w:ind w:firstLine="480" w:firstLineChars="200"/>
        <w:rPr>
          <w:rFonts w:ascii="楷体" w:hAnsi="楷体" w:eastAsia="楷体"/>
          <w:sz w:val="24"/>
        </w:rPr>
      </w:pPr>
      <w:r>
        <w:rPr>
          <w:rFonts w:hint="eastAsia" w:ascii="楷体" w:hAnsi="楷体" w:eastAsia="楷体"/>
          <w:sz w:val="24"/>
        </w:rPr>
        <w:t>4.1供应商应自行承担所有参加磋商的相关费用。不论磋商的结果如何，磋商组织方在任何情况下均无义务和责任承担上述费用。评审费（费用以实际支付为准）由成交供应商支付。</w:t>
      </w:r>
    </w:p>
    <w:p>
      <w:pPr>
        <w:spacing w:line="500" w:lineRule="exact"/>
        <w:ind w:left="494" w:leftChars="214" w:hanging="45" w:hangingChars="19"/>
        <w:rPr>
          <w:rFonts w:ascii="楷体" w:hAnsi="楷体" w:eastAsia="楷体"/>
          <w:sz w:val="24"/>
        </w:rPr>
      </w:pPr>
      <w:r>
        <w:rPr>
          <w:rFonts w:hint="eastAsia" w:ascii="楷体" w:hAnsi="楷体" w:eastAsia="楷体"/>
          <w:sz w:val="24"/>
        </w:rPr>
        <w:t>4.2招标代理服务费</w:t>
      </w:r>
    </w:p>
    <w:p>
      <w:pPr>
        <w:spacing w:line="500" w:lineRule="exact"/>
        <w:ind w:firstLine="480" w:firstLineChars="200"/>
        <w:rPr>
          <w:rFonts w:ascii="楷体" w:hAnsi="楷体" w:eastAsia="楷体"/>
          <w:color w:val="000000" w:themeColor="text1"/>
          <w:sz w:val="24"/>
        </w:rPr>
      </w:pPr>
      <w:bookmarkStart w:id="20" w:name="_Toc92168005"/>
      <w:bookmarkStart w:id="21" w:name="_Toc98669694"/>
      <w:bookmarkStart w:id="22" w:name="_Toc101264819"/>
      <w:bookmarkStart w:id="23" w:name="_Toc98669336"/>
      <w:bookmarkStart w:id="24" w:name="_Toc20732973"/>
      <w:r>
        <w:rPr>
          <w:rFonts w:hint="eastAsia" w:ascii="楷体" w:hAnsi="楷体" w:eastAsia="楷体"/>
          <w:color w:val="000000" w:themeColor="text1"/>
          <w:sz w:val="24"/>
        </w:rPr>
        <w:t>本文件约定由供应商在领取成交通知书时向招标代理机构支付招标代理服务费代理报酬按每标段中标价以计价格[2002]1980号文下浮40%收取，不足4000元按4000元计取，该费用由供应商综合考虑在磋商报价中，发包人不另行支付，评委费由中标人支付，按实结算，该费用由供应商综合考虑在磋商报价中。</w:t>
      </w:r>
    </w:p>
    <w:p>
      <w:pPr>
        <w:pStyle w:val="4"/>
        <w:keepNext w:val="0"/>
        <w:keepLines w:val="0"/>
        <w:spacing w:after="0" w:line="500" w:lineRule="exact"/>
        <w:jc w:val="left"/>
        <w:rPr>
          <w:rFonts w:ascii="楷体" w:hAnsi="楷体" w:eastAsia="楷体"/>
          <w:sz w:val="30"/>
        </w:rPr>
      </w:pPr>
      <w:r>
        <w:rPr>
          <w:rFonts w:hint="eastAsia" w:ascii="楷体" w:hAnsi="楷体" w:eastAsia="楷体"/>
          <w:sz w:val="30"/>
        </w:rPr>
        <w:t>5、适用法律及约束力</w:t>
      </w:r>
      <w:bookmarkEnd w:id="20"/>
      <w:bookmarkEnd w:id="21"/>
      <w:bookmarkEnd w:id="22"/>
      <w:bookmarkEnd w:id="23"/>
      <w:bookmarkEnd w:id="24"/>
    </w:p>
    <w:p>
      <w:pPr>
        <w:spacing w:line="500" w:lineRule="exact"/>
        <w:ind w:firstLine="480" w:firstLineChars="200"/>
        <w:rPr>
          <w:rFonts w:ascii="楷体" w:hAnsi="楷体" w:eastAsia="楷体"/>
          <w:sz w:val="24"/>
        </w:rPr>
      </w:pPr>
      <w:bookmarkStart w:id="25" w:name="_Toc20732974"/>
      <w:bookmarkStart w:id="26" w:name="_Toc92168006"/>
      <w:bookmarkStart w:id="27" w:name="_Toc98669337"/>
      <w:bookmarkStart w:id="28" w:name="_Toc101264820"/>
      <w:bookmarkStart w:id="29" w:name="_Toc98669695"/>
      <w:r>
        <w:rPr>
          <w:rFonts w:hint="eastAsia" w:ascii="楷体" w:hAnsi="楷体" w:eastAsia="楷体"/>
          <w:sz w:val="24"/>
        </w:rPr>
        <w:t>5.1根据《政府采购促进中小企业发展暂行办法》，</w:t>
      </w:r>
      <w:r>
        <w:rPr>
          <w:rFonts w:hint="eastAsia" w:ascii="楷体" w:hAnsi="楷体" w:eastAsia="楷体"/>
          <w:bCs/>
          <w:sz w:val="24"/>
        </w:rPr>
        <w:t>小型、微型企业在评审时享受扶持政策。中小企业划型标准见《关于印发中小企业划型标准规定的通知》（工信部联企业[2011]300号）。</w:t>
      </w:r>
    </w:p>
    <w:p>
      <w:pPr>
        <w:spacing w:line="500" w:lineRule="exact"/>
        <w:ind w:firstLine="480" w:firstLineChars="200"/>
        <w:rPr>
          <w:rFonts w:ascii="楷体" w:hAnsi="楷体" w:eastAsia="楷体"/>
          <w:sz w:val="24"/>
        </w:rPr>
      </w:pPr>
      <w:r>
        <w:rPr>
          <w:rFonts w:hint="eastAsia" w:ascii="楷体" w:hAnsi="楷体" w:eastAsia="楷体"/>
          <w:sz w:val="24"/>
        </w:rPr>
        <w:t>5.2</w:t>
      </w:r>
      <w:r>
        <w:rPr>
          <w:rFonts w:hint="eastAsia" w:ascii="楷体" w:hAnsi="楷体" w:eastAsia="楷体"/>
          <w:bCs/>
          <w:sz w:val="24"/>
        </w:rPr>
        <w:t>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spacing w:line="500" w:lineRule="exact"/>
        <w:ind w:firstLine="480" w:firstLineChars="200"/>
        <w:rPr>
          <w:rFonts w:ascii="楷体" w:hAnsi="楷体" w:eastAsia="楷体"/>
          <w:sz w:val="24"/>
        </w:rPr>
      </w:pPr>
      <w:r>
        <w:rPr>
          <w:rFonts w:hint="eastAsia" w:ascii="楷体" w:hAnsi="楷体" w:eastAsia="楷体"/>
          <w:sz w:val="24"/>
        </w:rPr>
        <w:t>5.3根据《财政部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spacing w:line="500" w:lineRule="exact"/>
        <w:ind w:firstLine="480" w:firstLineChars="200"/>
        <w:rPr>
          <w:rFonts w:ascii="楷体" w:hAnsi="楷体" w:eastAsia="楷体"/>
          <w:sz w:val="24"/>
        </w:rPr>
      </w:pPr>
      <w:r>
        <w:rPr>
          <w:rFonts w:hint="eastAsia" w:ascii="楷体" w:hAnsi="楷体" w:eastAsia="楷体"/>
          <w:sz w:val="24"/>
        </w:rPr>
        <w:t>5.4根据《关于促进残疾人就业政府采购政策的通知》（财库〔2017〕141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pPr>
        <w:spacing w:line="500" w:lineRule="exact"/>
        <w:ind w:firstLine="480" w:firstLineChars="200"/>
        <w:rPr>
          <w:rFonts w:ascii="楷体" w:hAnsi="楷体" w:eastAsia="楷体"/>
          <w:sz w:val="24"/>
        </w:rPr>
      </w:pPr>
      <w:r>
        <w:rPr>
          <w:rFonts w:hint="eastAsia" w:ascii="楷体" w:hAnsi="楷体" w:eastAsia="楷体"/>
          <w:sz w:val="24"/>
        </w:rPr>
        <w:t>5.5 根据《财政部 发展改革委 生态环境部 市场监管总局关于调整优化节能产品 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pPr>
        <w:spacing w:line="500" w:lineRule="exact"/>
        <w:ind w:firstLine="480" w:firstLineChars="200"/>
        <w:rPr>
          <w:rFonts w:ascii="楷体" w:hAnsi="楷体" w:eastAsia="楷体"/>
          <w:sz w:val="24"/>
        </w:rPr>
      </w:pPr>
      <w:r>
        <w:rPr>
          <w:rFonts w:hint="eastAsia" w:ascii="楷体" w:hAnsi="楷体" w:eastAsia="楷体"/>
          <w:sz w:val="24"/>
        </w:rPr>
        <w:t>5.6 供应商一旦购买了本磋商文件并参加磋商，即被认为接受了本磋商文件中第一、第二、第三部分的所有条件和规定。</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二、</w:t>
      </w:r>
      <w:bookmarkEnd w:id="25"/>
      <w:bookmarkEnd w:id="26"/>
      <w:bookmarkEnd w:id="27"/>
      <w:bookmarkEnd w:id="28"/>
      <w:bookmarkEnd w:id="29"/>
      <w:r>
        <w:rPr>
          <w:rFonts w:hint="eastAsia" w:ascii="楷体" w:hAnsi="楷体" w:eastAsia="楷体"/>
          <w:sz w:val="32"/>
          <w:szCs w:val="32"/>
        </w:rPr>
        <w:t>磋商文件</w:t>
      </w:r>
    </w:p>
    <w:p>
      <w:pPr>
        <w:pStyle w:val="4"/>
        <w:keepNext w:val="0"/>
        <w:keepLines w:val="0"/>
        <w:spacing w:after="0" w:line="360" w:lineRule="auto"/>
        <w:rPr>
          <w:rFonts w:ascii="楷体" w:hAnsi="楷体" w:eastAsia="楷体"/>
          <w:sz w:val="30"/>
        </w:rPr>
      </w:pPr>
      <w:bookmarkStart w:id="30" w:name="_Toc20732975"/>
      <w:bookmarkStart w:id="31" w:name="_Toc101264821"/>
      <w:bookmarkStart w:id="32" w:name="_Toc98669338"/>
      <w:bookmarkStart w:id="33" w:name="_Toc98669696"/>
      <w:bookmarkStart w:id="34" w:name="_Toc92168007"/>
      <w:r>
        <w:rPr>
          <w:rFonts w:hint="eastAsia" w:ascii="楷体" w:hAnsi="楷体" w:eastAsia="楷体"/>
          <w:sz w:val="30"/>
        </w:rPr>
        <w:t>6、磋商文件构成</w:t>
      </w:r>
    </w:p>
    <w:p>
      <w:pPr>
        <w:spacing w:line="360" w:lineRule="exact"/>
        <w:ind w:firstLine="480" w:firstLineChars="200"/>
        <w:rPr>
          <w:rFonts w:ascii="楷体" w:hAnsi="楷体" w:eastAsia="楷体"/>
          <w:sz w:val="24"/>
        </w:rPr>
      </w:pPr>
      <w:r>
        <w:rPr>
          <w:rFonts w:hint="eastAsia" w:ascii="楷体" w:hAnsi="楷体" w:eastAsia="楷体"/>
          <w:sz w:val="24"/>
        </w:rPr>
        <w:t>6.1磋商文件包括：</w:t>
      </w:r>
    </w:p>
    <w:p>
      <w:pPr>
        <w:spacing w:line="360" w:lineRule="exact"/>
        <w:ind w:firstLine="480" w:firstLineChars="200"/>
        <w:rPr>
          <w:rFonts w:ascii="楷体" w:hAnsi="楷体" w:eastAsia="楷体"/>
          <w:sz w:val="24"/>
        </w:rPr>
      </w:pPr>
      <w:r>
        <w:rPr>
          <w:rFonts w:hint="eastAsia" w:ascii="楷体" w:hAnsi="楷体" w:eastAsia="楷体"/>
          <w:sz w:val="24"/>
        </w:rPr>
        <w:t>（1）磋商邀请；</w:t>
      </w:r>
    </w:p>
    <w:p>
      <w:pPr>
        <w:spacing w:line="360" w:lineRule="exact"/>
        <w:ind w:firstLine="480" w:firstLineChars="200"/>
        <w:rPr>
          <w:rFonts w:ascii="楷体" w:hAnsi="楷体" w:eastAsia="楷体"/>
          <w:sz w:val="24"/>
        </w:rPr>
      </w:pPr>
      <w:r>
        <w:rPr>
          <w:rFonts w:hint="eastAsia" w:ascii="楷体" w:hAnsi="楷体" w:eastAsia="楷体"/>
          <w:sz w:val="24"/>
        </w:rPr>
        <w:t>（2）供应商须知；</w:t>
      </w:r>
    </w:p>
    <w:p>
      <w:pPr>
        <w:spacing w:line="360" w:lineRule="exact"/>
        <w:ind w:firstLine="480" w:firstLineChars="200"/>
        <w:rPr>
          <w:rFonts w:ascii="楷体" w:hAnsi="楷体" w:eastAsia="楷体"/>
          <w:sz w:val="24"/>
        </w:rPr>
      </w:pPr>
      <w:r>
        <w:rPr>
          <w:rFonts w:hint="eastAsia" w:ascii="楷体" w:hAnsi="楷体" w:eastAsia="楷体"/>
          <w:sz w:val="24"/>
        </w:rPr>
        <w:t>（3）合同条款；</w:t>
      </w:r>
    </w:p>
    <w:p>
      <w:pPr>
        <w:spacing w:line="360" w:lineRule="exact"/>
        <w:ind w:firstLine="480" w:firstLineChars="200"/>
        <w:rPr>
          <w:rFonts w:ascii="楷体" w:hAnsi="楷体" w:eastAsia="楷体"/>
          <w:sz w:val="24"/>
        </w:rPr>
      </w:pPr>
      <w:r>
        <w:rPr>
          <w:rFonts w:hint="eastAsia" w:ascii="楷体" w:hAnsi="楷体" w:eastAsia="楷体"/>
          <w:sz w:val="24"/>
        </w:rPr>
        <w:t>（4）项目需求；</w:t>
      </w:r>
    </w:p>
    <w:p>
      <w:pPr>
        <w:spacing w:line="360" w:lineRule="exact"/>
        <w:ind w:firstLine="480" w:firstLineChars="200"/>
        <w:rPr>
          <w:rFonts w:ascii="楷体" w:hAnsi="楷体" w:eastAsia="楷体"/>
          <w:sz w:val="24"/>
        </w:rPr>
      </w:pPr>
      <w:r>
        <w:rPr>
          <w:rFonts w:hint="eastAsia" w:ascii="楷体" w:hAnsi="楷体" w:eastAsia="楷体"/>
          <w:sz w:val="24"/>
        </w:rPr>
        <w:t>（5）服务要求；</w:t>
      </w:r>
    </w:p>
    <w:p>
      <w:pPr>
        <w:spacing w:line="360" w:lineRule="exact"/>
        <w:ind w:firstLine="480" w:firstLineChars="200"/>
        <w:rPr>
          <w:rFonts w:ascii="楷体" w:hAnsi="楷体" w:eastAsia="楷体"/>
          <w:sz w:val="24"/>
        </w:rPr>
      </w:pPr>
      <w:r>
        <w:rPr>
          <w:rFonts w:hint="eastAsia" w:ascii="楷体" w:hAnsi="楷体" w:eastAsia="楷体"/>
          <w:sz w:val="24"/>
        </w:rPr>
        <w:t>（6）磋商响应文件（格式）；</w:t>
      </w:r>
    </w:p>
    <w:p>
      <w:pPr>
        <w:spacing w:line="360" w:lineRule="exact"/>
        <w:ind w:firstLine="480" w:firstLineChars="200"/>
        <w:rPr>
          <w:rFonts w:ascii="楷体" w:hAnsi="楷体" w:eastAsia="楷体"/>
          <w:sz w:val="24"/>
        </w:rPr>
      </w:pPr>
      <w:r>
        <w:rPr>
          <w:rFonts w:hint="eastAsia" w:ascii="楷体" w:hAnsi="楷体" w:eastAsia="楷体"/>
          <w:sz w:val="24"/>
        </w:rPr>
        <w:t>（7）附件。</w:t>
      </w:r>
    </w:p>
    <w:p>
      <w:pPr>
        <w:spacing w:line="360" w:lineRule="auto"/>
        <w:ind w:firstLine="482" w:firstLineChars="200"/>
        <w:rPr>
          <w:rFonts w:ascii="楷体" w:hAnsi="楷体" w:eastAsia="楷体"/>
          <w:sz w:val="24"/>
        </w:rPr>
      </w:pPr>
      <w:r>
        <w:rPr>
          <w:rFonts w:hint="eastAsia" w:ascii="楷体" w:hAnsi="楷体" w:eastAsia="楷体"/>
          <w:b/>
          <w:sz w:val="24"/>
          <w:u w:val="single"/>
        </w:rPr>
        <w:t>请仔细检查磋商文件是否齐全，如有缺漏请立即与磋商组织方联系解决。</w:t>
      </w:r>
    </w:p>
    <w:p>
      <w:pPr>
        <w:spacing w:line="360" w:lineRule="auto"/>
        <w:ind w:firstLine="480" w:firstLineChars="200"/>
        <w:rPr>
          <w:rFonts w:ascii="楷体" w:hAnsi="楷体" w:eastAsia="楷体"/>
          <w:sz w:val="24"/>
        </w:rPr>
      </w:pPr>
      <w:r>
        <w:rPr>
          <w:rFonts w:hint="eastAsia" w:ascii="楷体" w:hAnsi="楷体" w:eastAsia="楷体"/>
          <w:sz w:val="24"/>
        </w:rPr>
        <w:t>6.2供应商应当按照磋商文件的要求编制磋商响应文件。磋商响应文件应当对磋商文件的要求和条件作出明确响应。</w:t>
      </w:r>
    </w:p>
    <w:p>
      <w:pPr>
        <w:pStyle w:val="4"/>
        <w:keepNext w:val="0"/>
        <w:keepLines w:val="0"/>
        <w:spacing w:after="0" w:line="440" w:lineRule="exact"/>
        <w:rPr>
          <w:rFonts w:ascii="楷体" w:hAnsi="楷体" w:eastAsia="楷体"/>
          <w:sz w:val="30"/>
        </w:rPr>
      </w:pPr>
      <w:r>
        <w:rPr>
          <w:rFonts w:hint="eastAsia" w:ascii="楷体" w:hAnsi="楷体" w:eastAsia="楷体"/>
          <w:sz w:val="30"/>
        </w:rPr>
        <w:t>7、磋商文件的澄清</w:t>
      </w:r>
    </w:p>
    <w:p>
      <w:pPr>
        <w:spacing w:line="440" w:lineRule="exact"/>
        <w:ind w:firstLine="480" w:firstLineChars="200"/>
        <w:rPr>
          <w:rFonts w:ascii="楷体" w:hAnsi="楷体" w:eastAsia="楷体"/>
          <w:sz w:val="24"/>
        </w:rPr>
      </w:pPr>
      <w:r>
        <w:rPr>
          <w:rFonts w:hint="eastAsia" w:ascii="楷体" w:hAnsi="楷体" w:eastAsia="楷体"/>
          <w:sz w:val="24"/>
        </w:rPr>
        <w:t>7.1 任何要求对磋商文件进行澄清的供应商，均应按磋商文件中的通讯地址，以书面形式（如信件、传真、电报等）通知磋商组织方。</w:t>
      </w:r>
    </w:p>
    <w:p>
      <w:pPr>
        <w:spacing w:line="360" w:lineRule="auto"/>
        <w:ind w:firstLine="480" w:firstLineChars="200"/>
        <w:rPr>
          <w:rFonts w:ascii="楷体" w:hAnsi="楷体" w:eastAsia="楷体"/>
          <w:sz w:val="24"/>
        </w:rPr>
      </w:pPr>
      <w:r>
        <w:rPr>
          <w:rFonts w:hint="eastAsia" w:ascii="楷体" w:hAnsi="楷体" w:eastAsia="楷体"/>
          <w:sz w:val="24"/>
        </w:rPr>
        <w:t>7.2 磋商组织方可以对已发出的磋商文件进行必要的澄清或者修改，但不改变采购标的和资格条件。澄澄清或者修改的内容为磋商文件的组成部分。澄清或者修改的内容可能影响磋商响应文件编制的，磋商组织方将在磋商截止时间2日前，以书面形式通知所有已完成报名的供应商。</w:t>
      </w:r>
    </w:p>
    <w:p>
      <w:pPr>
        <w:spacing w:line="360" w:lineRule="auto"/>
        <w:ind w:firstLine="480" w:firstLineChars="200"/>
        <w:rPr>
          <w:rFonts w:ascii="楷体" w:hAnsi="楷体" w:eastAsia="楷体"/>
          <w:sz w:val="24"/>
        </w:rPr>
      </w:pPr>
      <w:r>
        <w:rPr>
          <w:rFonts w:hint="eastAsia" w:ascii="楷体" w:hAnsi="楷体" w:eastAsia="楷体"/>
          <w:sz w:val="24"/>
        </w:rPr>
        <w:t>7.3 除非有特殊要求，磋商文件不单独提供磋商标的所在地自然环境、气象条件、公用设施等情况，供应商被视为熟悉上述与签订和履行合同有关的一切情况。</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三、磋商响应文件的编制</w:t>
      </w:r>
    </w:p>
    <w:p>
      <w:pPr>
        <w:pStyle w:val="4"/>
        <w:keepNext w:val="0"/>
        <w:keepLines w:val="0"/>
        <w:spacing w:after="0" w:line="360" w:lineRule="auto"/>
        <w:rPr>
          <w:rFonts w:ascii="楷体" w:hAnsi="楷体" w:eastAsia="楷体"/>
          <w:sz w:val="30"/>
        </w:rPr>
      </w:pPr>
      <w:r>
        <w:rPr>
          <w:rFonts w:hint="eastAsia" w:ascii="楷体" w:hAnsi="楷体" w:eastAsia="楷体"/>
          <w:sz w:val="30"/>
        </w:rPr>
        <w:t>8、磋商响应文件</w:t>
      </w:r>
      <w:r>
        <w:rPr>
          <w:rFonts w:hint="eastAsia" w:ascii="楷体" w:hAnsi="楷体" w:eastAsia="楷体"/>
          <w:sz w:val="30"/>
          <w:szCs w:val="30"/>
        </w:rPr>
        <w:t>的编写</w:t>
      </w:r>
    </w:p>
    <w:p>
      <w:pPr>
        <w:spacing w:line="360" w:lineRule="auto"/>
        <w:ind w:firstLine="480" w:firstLineChars="200"/>
        <w:rPr>
          <w:rFonts w:ascii="楷体" w:hAnsi="楷体" w:eastAsia="楷体"/>
          <w:sz w:val="24"/>
        </w:rPr>
      </w:pPr>
      <w:r>
        <w:rPr>
          <w:rFonts w:hint="eastAsia" w:ascii="楷体" w:hAnsi="楷体" w:eastAsia="楷体"/>
          <w:sz w:val="24"/>
        </w:rPr>
        <w:t>8.1供应商应仔细阅读磋商文件，了解磋商文件的要求。在完全了解提供服务（货物）的技术规范和要求以及商务条件后，编制磋商响应文件。</w:t>
      </w:r>
    </w:p>
    <w:p>
      <w:pPr>
        <w:spacing w:line="360" w:lineRule="auto"/>
        <w:ind w:firstLine="480" w:firstLineChars="200"/>
        <w:rPr>
          <w:rFonts w:ascii="楷体" w:hAnsi="楷体" w:eastAsia="楷体"/>
          <w:b/>
          <w:sz w:val="24"/>
          <w:u w:val="single"/>
        </w:rPr>
      </w:pPr>
      <w:r>
        <w:rPr>
          <w:rFonts w:hint="eastAsia" w:ascii="楷体" w:hAnsi="楷体" w:eastAsia="楷体"/>
          <w:sz w:val="24"/>
        </w:rPr>
        <w:t xml:space="preserve">8.2 </w:t>
      </w:r>
      <w:r>
        <w:rPr>
          <w:rFonts w:hint="eastAsia" w:ascii="楷体" w:hAnsi="楷体" w:eastAsia="楷体"/>
          <w:b/>
          <w:sz w:val="24"/>
          <w:u w:val="single"/>
        </w:rPr>
        <w:t>磋商响应文件的正本和所有的副本均装订成册。凡修改处（书写应清楚工整）必须加盖供应商公章。</w:t>
      </w:r>
    </w:p>
    <w:p>
      <w:pPr>
        <w:spacing w:line="360" w:lineRule="auto"/>
        <w:ind w:firstLine="480" w:firstLineChars="200"/>
        <w:rPr>
          <w:rFonts w:ascii="楷体" w:hAnsi="楷体" w:eastAsia="楷体"/>
          <w:b/>
          <w:sz w:val="24"/>
          <w:u w:val="single"/>
        </w:rPr>
      </w:pPr>
      <w:r>
        <w:rPr>
          <w:rFonts w:hint="eastAsia" w:ascii="楷体" w:hAnsi="楷体" w:eastAsia="楷体"/>
          <w:sz w:val="24"/>
        </w:rPr>
        <w:t xml:space="preserve">8.3 </w:t>
      </w:r>
      <w:r>
        <w:rPr>
          <w:rFonts w:hint="eastAsia" w:ascii="楷体" w:hAnsi="楷体" w:eastAsia="楷体"/>
          <w:b/>
          <w:sz w:val="24"/>
          <w:u w:val="single"/>
        </w:rPr>
        <w:t>磋商响应文件应有供应商法定代表人或其授权委托代理人在规定签章处逐一签署及加盖供应商的公章。</w:t>
      </w:r>
    </w:p>
    <w:p>
      <w:pPr>
        <w:spacing w:line="360" w:lineRule="auto"/>
        <w:ind w:firstLine="480" w:firstLineChars="200"/>
        <w:rPr>
          <w:rFonts w:ascii="楷体" w:hAnsi="楷体" w:eastAsia="楷体"/>
          <w:b/>
          <w:sz w:val="24"/>
          <w:u w:val="single"/>
        </w:rPr>
      </w:pPr>
      <w:r>
        <w:rPr>
          <w:rFonts w:hint="eastAsia" w:ascii="楷体" w:hAnsi="楷体" w:eastAsia="楷体"/>
          <w:sz w:val="24"/>
        </w:rPr>
        <w:t xml:space="preserve">8.4 </w:t>
      </w:r>
      <w:r>
        <w:rPr>
          <w:rFonts w:hint="eastAsia" w:ascii="楷体" w:hAnsi="楷体" w:eastAsia="楷体"/>
          <w:b/>
          <w:sz w:val="24"/>
          <w:u w:val="single"/>
        </w:rPr>
        <w:t>磋商响应文件的份数：一式叁份。正本壹份，副本贰份（正、副本的内容和资料应一致），并在文件左上角注明"正本"、"副本"字样，一旦正本和副本不符，以正本为准。</w:t>
      </w:r>
    </w:p>
    <w:p>
      <w:pPr>
        <w:spacing w:line="360" w:lineRule="auto"/>
        <w:ind w:firstLine="480" w:firstLineChars="200"/>
        <w:rPr>
          <w:rFonts w:ascii="楷体" w:hAnsi="楷体" w:eastAsia="楷体"/>
          <w:sz w:val="24"/>
        </w:rPr>
      </w:pPr>
      <w:r>
        <w:rPr>
          <w:rFonts w:hint="eastAsia" w:ascii="楷体" w:hAnsi="楷体" w:eastAsia="楷体"/>
          <w:sz w:val="24"/>
        </w:rPr>
        <w:t>8.5</w:t>
      </w:r>
      <w:r>
        <w:rPr>
          <w:rFonts w:hint="eastAsia" w:ascii="楷体" w:hAnsi="楷体" w:eastAsia="楷体"/>
          <w:b/>
          <w:sz w:val="24"/>
          <w:u w:val="single"/>
        </w:rPr>
        <w:t>磋商响应文件</w:t>
      </w:r>
      <w:r>
        <w:rPr>
          <w:rFonts w:hint="eastAsia" w:ascii="楷体" w:hAnsi="楷体" w:eastAsia="楷体"/>
          <w:b/>
          <w:bCs/>
          <w:sz w:val="24"/>
          <w:u w:val="single"/>
        </w:rPr>
        <w:t>需胶装、双面打印，</w:t>
      </w:r>
      <w:r>
        <w:rPr>
          <w:rFonts w:hint="eastAsia" w:ascii="楷体" w:hAnsi="楷体" w:eastAsia="楷体"/>
          <w:b/>
          <w:sz w:val="24"/>
          <w:u w:val="single"/>
        </w:rPr>
        <w:t>需提供详细的目录及评分索引表，并按顺序编写页码。</w:t>
      </w:r>
    </w:p>
    <w:p>
      <w:pPr>
        <w:pStyle w:val="4"/>
        <w:keepNext w:val="0"/>
        <w:keepLines w:val="0"/>
        <w:spacing w:after="0" w:line="440" w:lineRule="exact"/>
        <w:rPr>
          <w:rFonts w:ascii="楷体" w:hAnsi="楷体" w:eastAsia="楷体"/>
          <w:sz w:val="30"/>
        </w:rPr>
      </w:pPr>
      <w:r>
        <w:rPr>
          <w:rFonts w:hint="eastAsia" w:ascii="楷体" w:hAnsi="楷体" w:eastAsia="楷体"/>
          <w:sz w:val="30"/>
        </w:rPr>
        <w:t>9、磋商响应语言及度量衡单位</w:t>
      </w:r>
    </w:p>
    <w:p>
      <w:pPr>
        <w:spacing w:line="440" w:lineRule="exact"/>
        <w:ind w:firstLine="480" w:firstLineChars="200"/>
        <w:rPr>
          <w:rFonts w:ascii="楷体" w:hAnsi="楷体" w:eastAsia="楷体"/>
          <w:sz w:val="24"/>
        </w:rPr>
      </w:pPr>
      <w:r>
        <w:rPr>
          <w:rFonts w:hint="eastAsia" w:ascii="楷体" w:hAnsi="楷体" w:eastAsia="楷体"/>
          <w:sz w:val="24"/>
        </w:rPr>
        <w:t>9.1供应商的磋商响应文件以及供应商就有关磋商的所有来往函电等均应使用中文。</w:t>
      </w:r>
    </w:p>
    <w:p>
      <w:pPr>
        <w:spacing w:line="440" w:lineRule="exact"/>
        <w:ind w:firstLine="480" w:firstLineChars="200"/>
        <w:rPr>
          <w:rFonts w:ascii="楷体" w:hAnsi="楷体" w:eastAsia="楷体"/>
          <w:sz w:val="24"/>
        </w:rPr>
      </w:pPr>
      <w:r>
        <w:rPr>
          <w:rFonts w:hint="eastAsia" w:ascii="楷体" w:hAnsi="楷体" w:eastAsia="楷体"/>
          <w:sz w:val="24"/>
        </w:rPr>
        <w:t>9.2磋商响应文件中所使用的计量单位除磋商文件中另有特殊规定外，一律使用法定计量单位。</w:t>
      </w:r>
    </w:p>
    <w:p>
      <w:pPr>
        <w:pStyle w:val="4"/>
        <w:keepNext w:val="0"/>
        <w:keepLines w:val="0"/>
        <w:spacing w:after="0" w:line="440" w:lineRule="exact"/>
        <w:rPr>
          <w:rFonts w:ascii="楷体" w:hAnsi="楷体" w:eastAsia="楷体"/>
          <w:sz w:val="30"/>
        </w:rPr>
      </w:pPr>
      <w:r>
        <w:rPr>
          <w:rFonts w:hint="eastAsia" w:ascii="楷体" w:hAnsi="楷体" w:eastAsia="楷体"/>
          <w:sz w:val="30"/>
        </w:rPr>
        <w:t>10、磋商响应文件构成</w:t>
      </w:r>
    </w:p>
    <w:p>
      <w:pPr>
        <w:spacing w:line="440" w:lineRule="exact"/>
        <w:ind w:firstLine="480" w:firstLineChars="200"/>
        <w:rPr>
          <w:rFonts w:ascii="楷体" w:hAnsi="楷体" w:eastAsia="楷体"/>
          <w:sz w:val="24"/>
        </w:rPr>
      </w:pPr>
      <w:r>
        <w:rPr>
          <w:rFonts w:hint="eastAsia" w:ascii="楷体" w:hAnsi="楷体" w:eastAsia="楷体"/>
          <w:sz w:val="24"/>
        </w:rPr>
        <w:t>10.1 供应商编写的磋商响应文件应按照磋商文件第五部分磋商响应文件（格式）的要求编写。</w:t>
      </w:r>
    </w:p>
    <w:p>
      <w:pPr>
        <w:spacing w:line="440" w:lineRule="exact"/>
        <w:ind w:firstLine="480" w:firstLineChars="200"/>
        <w:rPr>
          <w:rFonts w:ascii="楷体" w:hAnsi="楷体" w:eastAsia="楷体"/>
          <w:sz w:val="24"/>
        </w:rPr>
      </w:pPr>
      <w:r>
        <w:rPr>
          <w:rFonts w:hint="eastAsia" w:ascii="楷体" w:hAnsi="楷体" w:eastAsia="楷体"/>
          <w:sz w:val="24"/>
        </w:rPr>
        <w:t>10.2 供应商应将磋商响应文件按顺序装订成册，并编制磋商响应文件资料目录。</w:t>
      </w:r>
    </w:p>
    <w:p>
      <w:pPr>
        <w:pStyle w:val="4"/>
        <w:keepNext w:val="0"/>
        <w:keepLines w:val="0"/>
        <w:spacing w:after="0" w:line="440" w:lineRule="exact"/>
        <w:rPr>
          <w:rFonts w:ascii="楷体" w:hAnsi="楷体" w:eastAsia="楷体"/>
          <w:sz w:val="30"/>
        </w:rPr>
      </w:pPr>
      <w:r>
        <w:rPr>
          <w:rFonts w:hint="eastAsia" w:ascii="楷体" w:hAnsi="楷体" w:eastAsia="楷体"/>
          <w:sz w:val="30"/>
        </w:rPr>
        <w:t>11、磋商承诺函</w:t>
      </w:r>
    </w:p>
    <w:p>
      <w:pPr>
        <w:spacing w:line="440" w:lineRule="exact"/>
        <w:ind w:firstLine="480" w:firstLineChars="200"/>
        <w:rPr>
          <w:rFonts w:ascii="楷体" w:hAnsi="楷体" w:eastAsia="楷体"/>
          <w:sz w:val="24"/>
        </w:rPr>
      </w:pPr>
      <w:r>
        <w:rPr>
          <w:rFonts w:hint="eastAsia" w:ascii="楷体" w:hAnsi="楷体" w:eastAsia="楷体"/>
          <w:sz w:val="24"/>
        </w:rPr>
        <w:t>11.1 供应商应按照磋商文件中提供的“磋商承诺函”的格式及要求填写。</w:t>
      </w:r>
    </w:p>
    <w:p>
      <w:pPr>
        <w:pStyle w:val="4"/>
        <w:keepNext w:val="0"/>
        <w:keepLines w:val="0"/>
        <w:spacing w:after="0" w:line="360" w:lineRule="auto"/>
        <w:rPr>
          <w:rFonts w:ascii="楷体" w:hAnsi="楷体" w:eastAsia="楷体"/>
          <w:sz w:val="30"/>
        </w:rPr>
      </w:pPr>
      <w:r>
        <w:rPr>
          <w:rFonts w:hint="eastAsia" w:ascii="楷体" w:hAnsi="楷体" w:eastAsia="楷体"/>
          <w:sz w:val="30"/>
        </w:rPr>
        <w:t>12、磋商报价</w:t>
      </w:r>
    </w:p>
    <w:p>
      <w:pPr>
        <w:spacing w:line="400" w:lineRule="exact"/>
        <w:ind w:left="141" w:leftChars="67" w:firstLine="336" w:firstLineChars="140"/>
        <w:rPr>
          <w:rFonts w:ascii="楷体" w:hAnsi="楷体" w:eastAsia="楷体"/>
          <w:bCs/>
          <w:sz w:val="24"/>
        </w:rPr>
      </w:pPr>
      <w:r>
        <w:rPr>
          <w:rFonts w:hint="eastAsia" w:ascii="楷体" w:hAnsi="楷体" w:eastAsia="楷体"/>
          <w:bCs/>
          <w:sz w:val="24"/>
        </w:rPr>
        <w:t>12.1</w:t>
      </w:r>
      <w:r>
        <w:rPr>
          <w:rFonts w:hint="eastAsia" w:ascii="楷体" w:hAnsi="楷体" w:eastAsia="楷体"/>
          <w:sz w:val="24"/>
        </w:rPr>
        <w:t>供应商对本项目所提供的服务，应报出最具有竞争力的价格，</w:t>
      </w:r>
      <w:r>
        <w:rPr>
          <w:rFonts w:hint="eastAsia" w:ascii="楷体" w:hAnsi="楷体" w:eastAsia="楷体"/>
          <w:bCs/>
          <w:sz w:val="24"/>
        </w:rPr>
        <w:t>本工程项目采用固定总价报价方式，供应商应根据磋商文件所提供的工程量清单并充分考虑施工现场状况、施工期间各种建材的市场风险和国家政策性调整风险系数，计算总报价，成交后不作调整。风险范围以外（即工程调整或变更部分）的合同价款调整方法在合同中约定。</w:t>
      </w:r>
    </w:p>
    <w:p>
      <w:pPr>
        <w:spacing w:line="400" w:lineRule="exact"/>
        <w:ind w:left="143" w:leftChars="68" w:firstLine="261" w:firstLineChars="109"/>
        <w:rPr>
          <w:rFonts w:ascii="楷体" w:hAnsi="楷体" w:eastAsia="楷体"/>
          <w:sz w:val="24"/>
        </w:rPr>
      </w:pPr>
      <w:r>
        <w:rPr>
          <w:rFonts w:hint="eastAsia" w:ascii="楷体" w:hAnsi="楷体" w:eastAsia="楷体"/>
          <w:sz w:val="24"/>
        </w:rPr>
        <w:t>12.2供应商应按磋商文件的要求在磋商响应文件里提供磋商首轮报价</w:t>
      </w:r>
      <w:r>
        <w:rPr>
          <w:rFonts w:hint="eastAsia" w:ascii="楷体" w:hAnsi="楷体" w:eastAsia="楷体"/>
          <w:bCs/>
          <w:sz w:val="24"/>
        </w:rPr>
        <w:t>，并根据首轮报价在所附的合适的报价明细表上表明所提供的项目明细报价</w:t>
      </w:r>
      <w:r>
        <w:rPr>
          <w:rFonts w:hint="eastAsia" w:ascii="楷体" w:hAnsi="楷体" w:eastAsia="楷体"/>
          <w:sz w:val="24"/>
        </w:rPr>
        <w:t>。</w:t>
      </w:r>
    </w:p>
    <w:p>
      <w:pPr>
        <w:spacing w:line="400" w:lineRule="exact"/>
        <w:ind w:left="143" w:leftChars="68" w:firstLine="261" w:firstLineChars="109"/>
        <w:rPr>
          <w:rFonts w:ascii="楷体" w:hAnsi="楷体" w:eastAsia="楷体"/>
          <w:bCs/>
          <w:sz w:val="24"/>
        </w:rPr>
      </w:pPr>
      <w:r>
        <w:rPr>
          <w:rFonts w:hint="eastAsia" w:ascii="楷体" w:hAnsi="楷体" w:eastAsia="楷体"/>
          <w:bCs/>
          <w:sz w:val="24"/>
        </w:rPr>
        <w:t>工程量清单报价应包括完成磋商文件规定的工程量清单项目所需的全部费用。</w:t>
      </w:r>
    </w:p>
    <w:p>
      <w:pPr>
        <w:spacing w:line="400" w:lineRule="exact"/>
        <w:ind w:firstLine="480" w:firstLineChars="200"/>
        <w:rPr>
          <w:rFonts w:ascii="楷体" w:hAnsi="楷体" w:eastAsia="楷体"/>
          <w:sz w:val="24"/>
        </w:rPr>
      </w:pPr>
      <w:r>
        <w:rPr>
          <w:rFonts w:hint="eastAsia" w:ascii="楷体" w:hAnsi="楷体" w:eastAsia="楷体"/>
          <w:sz w:val="24"/>
        </w:rPr>
        <w:t>12.3供应商需另行准备已加盖好公章的空白“最终报价表”，以备磋商结束后在规定的时间内填报最终报价。最终总报价的优惠数额将按比例细化到具体子项中。</w:t>
      </w:r>
    </w:p>
    <w:p>
      <w:pPr>
        <w:spacing w:line="400" w:lineRule="exact"/>
        <w:ind w:firstLine="480" w:firstLineChars="200"/>
        <w:rPr>
          <w:rFonts w:ascii="楷体" w:hAnsi="楷体" w:eastAsia="楷体"/>
          <w:sz w:val="24"/>
        </w:rPr>
      </w:pPr>
      <w:r>
        <w:rPr>
          <w:rFonts w:hint="eastAsia" w:ascii="楷体" w:hAnsi="楷体" w:eastAsia="楷体"/>
          <w:sz w:val="24"/>
        </w:rPr>
        <w:t>12.4磋商最终报价即为合同签约价。</w:t>
      </w:r>
    </w:p>
    <w:p>
      <w:pPr>
        <w:spacing w:line="400" w:lineRule="exact"/>
        <w:ind w:firstLine="480" w:firstLineChars="200"/>
        <w:rPr>
          <w:rFonts w:ascii="楷体" w:hAnsi="楷体" w:eastAsia="楷体"/>
          <w:sz w:val="24"/>
        </w:rPr>
      </w:pPr>
      <w:r>
        <w:rPr>
          <w:rFonts w:hint="eastAsia" w:ascii="楷体" w:hAnsi="楷体" w:eastAsia="楷体"/>
          <w:sz w:val="24"/>
        </w:rPr>
        <w:t>12.5最低磋商报价不能作为成交的唯一保证。</w:t>
      </w:r>
    </w:p>
    <w:p>
      <w:pPr>
        <w:spacing w:line="400" w:lineRule="exact"/>
        <w:ind w:left="141" w:leftChars="67" w:firstLine="336" w:firstLineChars="140"/>
        <w:rPr>
          <w:rFonts w:ascii="楷体" w:hAnsi="楷体" w:eastAsia="楷体"/>
          <w:sz w:val="24"/>
        </w:rPr>
      </w:pPr>
      <w:r>
        <w:rPr>
          <w:rFonts w:hint="eastAsia" w:ascii="楷体" w:hAnsi="楷体" w:eastAsia="楷体"/>
          <w:sz w:val="24"/>
        </w:rPr>
        <w:t>12.6磋商报价应以人民币报价。</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12.7 每种工程量只允许有一种报价，任何有选择报价将不予接受。供应商必须对磋商文件中所采购的所有工程量进行报价，只报其中部分工程量的磋商响应文件无效。</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12.8 磋商报价根据磋商文件中的工程量清单、质量、工期等有关要求，结合施工现场实际情况以及供应商的施工方案或施工组织设计，并考虑市场各类风险因素而增加的费用，由供应商自主报价。</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12.9 供应商应严格按磋商文件提供的工程量清单报价，不得随意合并或增减。</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12.10 供应商不得将以下不可竞争费用降低标准计取：</w:t>
      </w:r>
    </w:p>
    <w:p>
      <w:pPr>
        <w:spacing w:line="400" w:lineRule="exact"/>
        <w:ind w:firstLine="360" w:firstLineChars="150"/>
        <w:rPr>
          <w:rFonts w:ascii="楷体" w:hAnsi="楷体" w:eastAsia="楷体"/>
          <w:bCs/>
          <w:sz w:val="24"/>
        </w:rPr>
      </w:pPr>
      <w:r>
        <w:rPr>
          <w:rFonts w:hint="eastAsia" w:ascii="楷体" w:hAnsi="楷体" w:eastAsia="楷体"/>
          <w:bCs/>
          <w:sz w:val="24"/>
        </w:rPr>
        <w:t>（1）财政、税收、物价等部门批准的税金和行政性规费；</w:t>
      </w:r>
    </w:p>
    <w:p>
      <w:pPr>
        <w:spacing w:line="400" w:lineRule="exact"/>
        <w:ind w:firstLine="360" w:firstLineChars="150"/>
        <w:rPr>
          <w:rFonts w:ascii="楷体" w:hAnsi="楷体" w:eastAsia="楷体"/>
          <w:bCs/>
          <w:sz w:val="24"/>
        </w:rPr>
      </w:pPr>
      <w:r>
        <w:rPr>
          <w:rFonts w:hint="eastAsia" w:ascii="楷体" w:hAnsi="楷体" w:eastAsia="楷体"/>
          <w:bCs/>
          <w:sz w:val="24"/>
        </w:rPr>
        <w:t>（2）磋商文件明确的有关费用比例；</w:t>
      </w:r>
    </w:p>
    <w:p>
      <w:pPr>
        <w:tabs>
          <w:tab w:val="left" w:pos="720"/>
        </w:tabs>
        <w:spacing w:line="400" w:lineRule="exact"/>
        <w:ind w:firstLine="360" w:firstLineChars="150"/>
        <w:rPr>
          <w:rFonts w:ascii="楷体" w:hAnsi="楷体" w:eastAsia="楷体"/>
          <w:sz w:val="24"/>
        </w:rPr>
      </w:pPr>
      <w:r>
        <w:rPr>
          <w:rFonts w:hint="eastAsia" w:ascii="楷体" w:hAnsi="楷体" w:eastAsia="楷体"/>
          <w:sz w:val="24"/>
        </w:rPr>
        <w:t>（3）磋商文件中已经明确固定价格的材料、采购人供应的材料及暂定暂估的费用。</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12.11 供应商应按工程量清单中列出的工程项目填报单价和合价，供应商未填单价或合价或未列出的工程项目，在工程实施后，采购人将不予以支付，并视作该项费用已包括在工程总报价中。</w:t>
      </w:r>
    </w:p>
    <w:p>
      <w:pPr>
        <w:pStyle w:val="4"/>
        <w:keepNext w:val="0"/>
        <w:keepLines w:val="0"/>
        <w:spacing w:after="0" w:line="440" w:lineRule="exact"/>
        <w:rPr>
          <w:rFonts w:ascii="楷体" w:hAnsi="楷体" w:eastAsia="楷体"/>
          <w:sz w:val="30"/>
        </w:rPr>
      </w:pPr>
      <w:r>
        <w:rPr>
          <w:rFonts w:hint="eastAsia" w:ascii="楷体" w:hAnsi="楷体" w:eastAsia="楷体"/>
          <w:sz w:val="30"/>
        </w:rPr>
        <w:t>13、服务要求的响应</w:t>
      </w:r>
    </w:p>
    <w:p>
      <w:pPr>
        <w:spacing w:line="440" w:lineRule="exact"/>
        <w:ind w:firstLine="360" w:firstLineChars="150"/>
        <w:rPr>
          <w:rFonts w:ascii="楷体" w:hAnsi="楷体" w:eastAsia="楷体"/>
          <w:bCs/>
          <w:sz w:val="24"/>
        </w:rPr>
      </w:pPr>
      <w:r>
        <w:rPr>
          <w:rFonts w:hint="eastAsia" w:ascii="楷体" w:hAnsi="楷体" w:eastAsia="楷体"/>
          <w:bCs/>
          <w:sz w:val="24"/>
        </w:rPr>
        <w:t>13.1 供应商必须依据磋商文件中磋商项目要求，逐条说明提供的工程的适用性。</w:t>
      </w:r>
    </w:p>
    <w:p>
      <w:pPr>
        <w:spacing w:line="440" w:lineRule="exact"/>
        <w:ind w:firstLine="360" w:firstLineChars="150"/>
        <w:rPr>
          <w:rFonts w:ascii="楷体" w:hAnsi="楷体" w:eastAsia="楷体"/>
          <w:bCs/>
          <w:sz w:val="24"/>
        </w:rPr>
      </w:pPr>
      <w:r>
        <w:rPr>
          <w:rFonts w:hint="eastAsia" w:ascii="楷体" w:hAnsi="楷体" w:eastAsia="楷体"/>
          <w:bCs/>
          <w:sz w:val="24"/>
        </w:rPr>
        <w:t>13.2 供应商必须提交其所提供的工程和服务是符合磋商文件的技术响应文件。该文件可以是文字资料、数据、图纸和电子文档，并须提供在技术规格中规定的保证工程正常连续运转期间所需要的所有备件和专用工具的详细清单。</w:t>
      </w:r>
    </w:p>
    <w:p>
      <w:pPr>
        <w:spacing w:line="440" w:lineRule="exact"/>
        <w:ind w:firstLine="360" w:firstLineChars="150"/>
        <w:rPr>
          <w:rFonts w:ascii="楷体" w:hAnsi="楷体" w:eastAsia="楷体"/>
          <w:bCs/>
          <w:sz w:val="24"/>
        </w:rPr>
      </w:pPr>
      <w:r>
        <w:rPr>
          <w:rFonts w:hint="eastAsia" w:ascii="楷体" w:hAnsi="楷体" w:eastAsia="楷体"/>
          <w:bCs/>
          <w:sz w:val="24"/>
        </w:rPr>
        <w:t>13.3 供应商的服务承诺应按不低于磋商文件中服务要求的标准做出响应。</w:t>
      </w:r>
    </w:p>
    <w:p>
      <w:pPr>
        <w:pStyle w:val="4"/>
        <w:keepNext w:val="0"/>
        <w:keepLines w:val="0"/>
        <w:spacing w:after="0" w:line="440" w:lineRule="exact"/>
        <w:rPr>
          <w:rFonts w:ascii="楷体" w:hAnsi="楷体" w:eastAsia="楷体"/>
          <w:sz w:val="30"/>
        </w:rPr>
      </w:pPr>
      <w:r>
        <w:rPr>
          <w:rFonts w:hint="eastAsia" w:ascii="楷体" w:hAnsi="楷体" w:eastAsia="楷体"/>
          <w:sz w:val="30"/>
        </w:rPr>
        <w:t>14、供应商资格和能力的证明文件</w:t>
      </w:r>
    </w:p>
    <w:p>
      <w:pPr>
        <w:spacing w:line="440" w:lineRule="exact"/>
        <w:ind w:firstLine="480" w:firstLineChars="200"/>
        <w:rPr>
          <w:rFonts w:ascii="楷体" w:hAnsi="楷体" w:eastAsia="楷体"/>
          <w:sz w:val="24"/>
        </w:rPr>
      </w:pPr>
      <w:r>
        <w:rPr>
          <w:rFonts w:hint="eastAsia" w:ascii="楷体" w:hAnsi="楷体" w:eastAsia="楷体"/>
          <w:sz w:val="24"/>
        </w:rPr>
        <w:t>14.1供应商应提交证明其有资格参加磋商和成交后有能力签订和履行合同的文件，并作为其磋商响应文件的一部分。</w:t>
      </w:r>
    </w:p>
    <w:p>
      <w:pPr>
        <w:spacing w:line="440" w:lineRule="exact"/>
        <w:ind w:firstLine="480" w:firstLineChars="200"/>
        <w:rPr>
          <w:rFonts w:ascii="楷体" w:hAnsi="楷体" w:eastAsia="楷体"/>
          <w:sz w:val="24"/>
        </w:rPr>
      </w:pPr>
      <w:r>
        <w:rPr>
          <w:rFonts w:hint="eastAsia" w:ascii="楷体" w:hAnsi="楷体" w:eastAsia="楷体"/>
          <w:sz w:val="24"/>
        </w:rPr>
        <w:t>14.2供应商除必须具有履行合同所需提供的服务的能力外，还必须具备相应的后期维护服务、财务、技术支持等各方面的能力。</w:t>
      </w:r>
    </w:p>
    <w:p>
      <w:pPr>
        <w:pStyle w:val="4"/>
        <w:keepNext w:val="0"/>
        <w:keepLines w:val="0"/>
        <w:spacing w:after="0" w:line="440" w:lineRule="exact"/>
        <w:rPr>
          <w:rFonts w:ascii="楷体" w:hAnsi="楷体" w:eastAsia="楷体"/>
          <w:sz w:val="30"/>
        </w:rPr>
      </w:pPr>
      <w:r>
        <w:rPr>
          <w:rFonts w:hint="eastAsia" w:ascii="楷体" w:hAnsi="楷体" w:eastAsia="楷体"/>
          <w:sz w:val="30"/>
        </w:rPr>
        <w:t>15、磋商保证金</w:t>
      </w:r>
    </w:p>
    <w:p>
      <w:pPr>
        <w:spacing w:line="440" w:lineRule="exact"/>
        <w:ind w:firstLine="480" w:firstLineChars="200"/>
        <w:rPr>
          <w:rFonts w:ascii="楷体" w:hAnsi="楷体" w:eastAsia="楷体"/>
          <w:sz w:val="24"/>
        </w:rPr>
      </w:pPr>
      <w:r>
        <w:rPr>
          <w:rFonts w:hint="eastAsia" w:ascii="楷体" w:hAnsi="楷体" w:eastAsia="楷体"/>
          <w:sz w:val="24"/>
        </w:rPr>
        <w:t>15.1供应商应以人民币提交符合磋商文件规定的磋商保证金，磋商保证金接受现金、电汇</w:t>
      </w:r>
      <w:r>
        <w:rPr>
          <w:rFonts w:ascii="楷体" w:hAnsi="楷体" w:eastAsia="楷体"/>
          <w:sz w:val="24"/>
        </w:rPr>
        <w:t>、网上银行支付</w:t>
      </w:r>
      <w:r>
        <w:rPr>
          <w:rFonts w:hint="eastAsia" w:ascii="楷体" w:hAnsi="楷体" w:eastAsia="楷体"/>
          <w:sz w:val="24"/>
        </w:rPr>
        <w:t>等</w:t>
      </w:r>
      <w:r>
        <w:rPr>
          <w:rFonts w:ascii="楷体" w:hAnsi="楷体" w:eastAsia="楷体"/>
          <w:sz w:val="24"/>
        </w:rPr>
        <w:t>形式交纳</w:t>
      </w:r>
      <w:r>
        <w:rPr>
          <w:rFonts w:hint="eastAsia" w:ascii="楷体" w:hAnsi="楷体" w:eastAsia="楷体"/>
          <w:sz w:val="24"/>
        </w:rPr>
        <w:t>。</w:t>
      </w:r>
    </w:p>
    <w:p>
      <w:pPr>
        <w:spacing w:line="440" w:lineRule="exact"/>
        <w:ind w:firstLine="480" w:firstLineChars="200"/>
        <w:rPr>
          <w:rFonts w:ascii="楷体" w:hAnsi="楷体" w:eastAsia="楷体"/>
          <w:sz w:val="24"/>
        </w:rPr>
      </w:pPr>
      <w:r>
        <w:rPr>
          <w:rFonts w:hint="eastAsia" w:ascii="楷体" w:hAnsi="楷体" w:eastAsia="楷体"/>
          <w:sz w:val="24"/>
        </w:rPr>
        <w:t>15.2在磋商响应文件递交截止时间前，供应商应按要求提交磋商保证金的，否则磋商无效。</w:t>
      </w:r>
    </w:p>
    <w:p>
      <w:pPr>
        <w:spacing w:line="440" w:lineRule="exact"/>
        <w:ind w:firstLine="480" w:firstLineChars="200"/>
        <w:rPr>
          <w:rFonts w:ascii="楷体" w:hAnsi="楷体" w:eastAsia="楷体"/>
          <w:sz w:val="24"/>
        </w:rPr>
      </w:pPr>
      <w:r>
        <w:rPr>
          <w:rFonts w:hint="eastAsia" w:ascii="楷体" w:hAnsi="楷体" w:eastAsia="楷体"/>
          <w:sz w:val="24"/>
        </w:rPr>
        <w:t>15.3未成交供应商的磋商保证金，将在磋商结束发出成交通知书后五个工作日内予以退还，不计利息。</w:t>
      </w:r>
    </w:p>
    <w:p>
      <w:pPr>
        <w:spacing w:line="440" w:lineRule="exact"/>
        <w:ind w:firstLine="480" w:firstLineChars="200"/>
        <w:rPr>
          <w:rFonts w:ascii="楷体" w:hAnsi="楷体" w:eastAsia="楷体"/>
          <w:sz w:val="24"/>
        </w:rPr>
      </w:pPr>
      <w:r>
        <w:rPr>
          <w:rFonts w:hint="eastAsia" w:ascii="楷体" w:hAnsi="楷体" w:eastAsia="楷体"/>
          <w:sz w:val="24"/>
        </w:rPr>
        <w:t>15.4成交供应商的磋商保证金，在成交供应商按规定签订合同后五个工作日内予以退还，不计利息。</w:t>
      </w:r>
    </w:p>
    <w:p>
      <w:pPr>
        <w:spacing w:line="440" w:lineRule="exact"/>
        <w:ind w:firstLine="480" w:firstLineChars="200"/>
        <w:rPr>
          <w:rFonts w:ascii="楷体" w:hAnsi="楷体" w:eastAsia="楷体"/>
          <w:sz w:val="24"/>
        </w:rPr>
      </w:pPr>
      <w:r>
        <w:rPr>
          <w:rFonts w:hint="eastAsia" w:ascii="楷体" w:hAnsi="楷体" w:eastAsia="楷体"/>
          <w:sz w:val="24"/>
        </w:rPr>
        <w:t>15.5 下列任何情况发生时，磋商保证金将不予退还：</w:t>
      </w:r>
    </w:p>
    <w:p>
      <w:pPr>
        <w:spacing w:line="440" w:lineRule="exact"/>
        <w:ind w:firstLine="480" w:firstLineChars="200"/>
        <w:rPr>
          <w:rFonts w:ascii="楷体" w:hAnsi="楷体" w:eastAsia="楷体"/>
          <w:sz w:val="24"/>
        </w:rPr>
      </w:pPr>
      <w:r>
        <w:rPr>
          <w:rFonts w:hint="eastAsia" w:ascii="楷体" w:hAnsi="楷体" w:eastAsia="楷体"/>
          <w:sz w:val="24"/>
        </w:rPr>
        <w:t>（1）供应商在磋商截止时间后至磋商有效期内撤回其磋商；</w:t>
      </w:r>
    </w:p>
    <w:p>
      <w:pPr>
        <w:spacing w:line="440" w:lineRule="exact"/>
        <w:ind w:firstLine="480" w:firstLineChars="200"/>
        <w:rPr>
          <w:rFonts w:ascii="楷体" w:hAnsi="楷体" w:eastAsia="楷体"/>
          <w:sz w:val="24"/>
        </w:rPr>
      </w:pPr>
      <w:r>
        <w:rPr>
          <w:rFonts w:hint="eastAsia" w:ascii="楷体" w:hAnsi="楷体" w:eastAsia="楷体"/>
          <w:sz w:val="24"/>
        </w:rPr>
        <w:t>（2）成交后无正当理由不与采购人签订合同的；</w:t>
      </w:r>
    </w:p>
    <w:p>
      <w:pPr>
        <w:spacing w:line="440" w:lineRule="exact"/>
        <w:ind w:firstLine="480" w:firstLineChars="200"/>
        <w:rPr>
          <w:rFonts w:ascii="楷体" w:hAnsi="楷体" w:eastAsia="楷体"/>
          <w:sz w:val="24"/>
        </w:rPr>
      </w:pPr>
      <w:r>
        <w:rPr>
          <w:rFonts w:hint="eastAsia" w:ascii="楷体" w:hAnsi="楷体" w:eastAsia="楷体"/>
          <w:sz w:val="24"/>
        </w:rPr>
        <w:t>（3）将成交项目转让给他人，或者未在磋商响应文件中说明，且未经采购人同意，将成交项目分包给他人的；</w:t>
      </w:r>
    </w:p>
    <w:p>
      <w:pPr>
        <w:spacing w:line="440" w:lineRule="exact"/>
        <w:ind w:firstLine="480" w:firstLineChars="200"/>
        <w:rPr>
          <w:rFonts w:ascii="楷体" w:hAnsi="楷体" w:eastAsia="楷体"/>
          <w:sz w:val="24"/>
        </w:rPr>
      </w:pPr>
      <w:r>
        <w:rPr>
          <w:rFonts w:hint="eastAsia" w:ascii="楷体" w:hAnsi="楷体" w:eastAsia="楷体"/>
          <w:sz w:val="24"/>
        </w:rPr>
        <w:t>（4）拒绝履行合同义务的。</w:t>
      </w:r>
    </w:p>
    <w:p>
      <w:pPr>
        <w:pStyle w:val="4"/>
        <w:keepNext w:val="0"/>
        <w:keepLines w:val="0"/>
        <w:spacing w:after="0" w:line="440" w:lineRule="exact"/>
        <w:rPr>
          <w:rFonts w:ascii="楷体" w:hAnsi="楷体" w:eastAsia="楷体"/>
          <w:sz w:val="30"/>
        </w:rPr>
      </w:pPr>
      <w:r>
        <w:rPr>
          <w:rFonts w:hint="eastAsia" w:ascii="楷体" w:hAnsi="楷体" w:eastAsia="楷体"/>
          <w:sz w:val="30"/>
        </w:rPr>
        <w:t>16、磋商响应有效期</w:t>
      </w:r>
    </w:p>
    <w:p>
      <w:pPr>
        <w:spacing w:line="440" w:lineRule="exact"/>
        <w:ind w:firstLine="480" w:firstLineChars="200"/>
        <w:rPr>
          <w:rFonts w:ascii="楷体" w:hAnsi="楷体" w:eastAsia="楷体"/>
          <w:sz w:val="24"/>
        </w:rPr>
      </w:pPr>
      <w:r>
        <w:rPr>
          <w:rFonts w:hint="eastAsia" w:ascii="楷体" w:hAnsi="楷体" w:eastAsia="楷体"/>
          <w:sz w:val="24"/>
        </w:rPr>
        <w:t>16.1磋商响应有效期为：磋商组织方规定的磋商之日起</w:t>
      </w:r>
      <w:r>
        <w:rPr>
          <w:rFonts w:hint="eastAsia" w:ascii="楷体" w:hAnsi="楷体" w:eastAsia="楷体"/>
          <w:b/>
          <w:sz w:val="24"/>
        </w:rPr>
        <w:t>45</w:t>
      </w:r>
      <w:r>
        <w:rPr>
          <w:rFonts w:hint="eastAsia" w:ascii="楷体" w:hAnsi="楷体" w:eastAsia="楷体"/>
          <w:sz w:val="24"/>
        </w:rPr>
        <w:t>天内有效。供应商一旦领取了本磋商文件并参加磋商，即被认为接受了磋商有效期的约定。</w:t>
      </w:r>
    </w:p>
    <w:p>
      <w:pPr>
        <w:spacing w:line="440" w:lineRule="exact"/>
        <w:ind w:firstLine="480" w:firstLineChars="200"/>
        <w:rPr>
          <w:rFonts w:ascii="楷体" w:hAnsi="楷体" w:eastAsia="楷体"/>
          <w:sz w:val="24"/>
        </w:rPr>
      </w:pPr>
      <w:r>
        <w:rPr>
          <w:rFonts w:hint="eastAsia" w:ascii="楷体" w:hAnsi="楷体" w:eastAsia="楷体"/>
          <w:sz w:val="24"/>
        </w:rPr>
        <w:t>16.2在特殊情况下，磋商组织方于原磋商响应有效期满之前，可向供应商提出延长磋商响应有效期的要求。这种要求与答复均应采用书面形式（如信件、传真或电报等）。供应商可以拒绝磋商组织方的这一要求而放弃磋商响应。同意延长的供应商既不能要求也不允许修改其磋商响应文件。</w:t>
      </w:r>
      <w:r>
        <w:rPr>
          <w:rFonts w:ascii="楷体" w:hAnsi="楷体" w:eastAsia="楷体"/>
          <w:sz w:val="24"/>
        </w:rPr>
        <w:tab/>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四、磋商响应文件的递交</w:t>
      </w:r>
    </w:p>
    <w:p>
      <w:pPr>
        <w:pStyle w:val="4"/>
        <w:keepNext w:val="0"/>
        <w:keepLines w:val="0"/>
        <w:spacing w:after="0" w:line="360" w:lineRule="auto"/>
        <w:rPr>
          <w:rFonts w:ascii="楷体" w:hAnsi="楷体" w:eastAsia="楷体"/>
          <w:sz w:val="30"/>
        </w:rPr>
      </w:pPr>
      <w:r>
        <w:rPr>
          <w:rFonts w:hint="eastAsia" w:ascii="楷体" w:hAnsi="楷体" w:eastAsia="楷体"/>
          <w:sz w:val="30"/>
        </w:rPr>
        <w:t>17、磋商响应文件的密封和标记</w:t>
      </w:r>
    </w:p>
    <w:p>
      <w:pPr>
        <w:pStyle w:val="4"/>
        <w:spacing w:before="0" w:after="0" w:line="360" w:lineRule="auto"/>
        <w:ind w:firstLine="480" w:firstLineChars="200"/>
        <w:rPr>
          <w:rFonts w:ascii="楷体" w:hAnsi="楷体" w:eastAsia="楷体"/>
          <w:sz w:val="24"/>
          <w:u w:val="single"/>
        </w:rPr>
      </w:pPr>
      <w:r>
        <w:rPr>
          <w:rFonts w:hint="eastAsia" w:ascii="楷体" w:hAnsi="楷体" w:eastAsia="楷体"/>
          <w:b w:val="0"/>
          <w:sz w:val="24"/>
          <w:szCs w:val="24"/>
        </w:rPr>
        <w:t>17.1</w:t>
      </w:r>
      <w:r>
        <w:rPr>
          <w:rFonts w:hint="eastAsia" w:ascii="楷体" w:hAnsi="楷体" w:eastAsia="楷体"/>
          <w:sz w:val="24"/>
          <w:u w:val="single"/>
        </w:rPr>
        <w:t>供应商应将磋商响应文件正本和副本密封，包装物上加盖供应商公章，并注明供应商名称、项目名称、项目编号。</w:t>
      </w:r>
    </w:p>
    <w:p>
      <w:pPr>
        <w:pStyle w:val="4"/>
        <w:spacing w:before="0" w:after="0" w:line="360" w:lineRule="auto"/>
        <w:ind w:firstLine="480" w:firstLineChars="200"/>
        <w:rPr>
          <w:rFonts w:ascii="楷体" w:hAnsi="楷体" w:eastAsia="楷体"/>
          <w:b w:val="0"/>
          <w:sz w:val="24"/>
          <w:szCs w:val="24"/>
        </w:rPr>
      </w:pPr>
      <w:r>
        <w:rPr>
          <w:rFonts w:hint="eastAsia" w:ascii="楷体" w:hAnsi="楷体" w:eastAsia="楷体"/>
          <w:b w:val="0"/>
          <w:sz w:val="24"/>
          <w:szCs w:val="24"/>
        </w:rPr>
        <w:t>17.2</w:t>
      </w:r>
      <w:r>
        <w:rPr>
          <w:rFonts w:hint="eastAsia" w:ascii="楷体" w:hAnsi="楷体" w:eastAsia="楷体"/>
          <w:sz w:val="24"/>
          <w:szCs w:val="24"/>
          <w:u w:val="single"/>
        </w:rPr>
        <w:t>未密封的磋商响应文件，磋商组织方应当拒收</w:t>
      </w:r>
      <w:r>
        <w:rPr>
          <w:rFonts w:hint="eastAsia" w:ascii="楷体" w:hAnsi="楷体" w:eastAsia="楷体"/>
          <w:sz w:val="24"/>
          <w:szCs w:val="24"/>
        </w:rPr>
        <w:t>。</w:t>
      </w:r>
    </w:p>
    <w:p>
      <w:pPr>
        <w:pStyle w:val="4"/>
        <w:keepNext w:val="0"/>
        <w:keepLines w:val="0"/>
        <w:spacing w:before="0" w:after="0" w:line="360" w:lineRule="auto"/>
        <w:ind w:firstLine="480" w:firstLineChars="200"/>
        <w:rPr>
          <w:rFonts w:ascii="楷体" w:hAnsi="楷体" w:eastAsia="楷体"/>
          <w:sz w:val="24"/>
        </w:rPr>
      </w:pPr>
      <w:r>
        <w:rPr>
          <w:rFonts w:hint="eastAsia" w:ascii="楷体" w:hAnsi="楷体" w:eastAsia="楷体"/>
          <w:b w:val="0"/>
          <w:sz w:val="24"/>
          <w:szCs w:val="24"/>
        </w:rPr>
        <w:t>17.3</w:t>
      </w:r>
      <w:r>
        <w:rPr>
          <w:rFonts w:hint="eastAsia" w:ascii="楷体" w:hAnsi="楷体" w:eastAsia="楷体"/>
          <w:b w:val="0"/>
          <w:sz w:val="24"/>
        </w:rPr>
        <w:t>供应商在递交磋商响应文件时须由法定代表人或其授权委托代理人出示有效居民身份证，并填写签到簿。</w:t>
      </w:r>
      <w:r>
        <w:rPr>
          <w:rFonts w:hint="eastAsia" w:ascii="楷体" w:hAnsi="楷体" w:eastAsia="楷体"/>
          <w:sz w:val="24"/>
        </w:rPr>
        <w:t>供应商法定代表人或其授权委托代理人未出示有效居民身份证的，磋商组织方拒绝接收其磋商响应文件。</w:t>
      </w:r>
    </w:p>
    <w:p>
      <w:pPr>
        <w:pStyle w:val="4"/>
        <w:keepNext w:val="0"/>
        <w:keepLines w:val="0"/>
        <w:tabs>
          <w:tab w:val="left" w:pos="4215"/>
        </w:tabs>
        <w:spacing w:before="0" w:after="0" w:line="360" w:lineRule="auto"/>
        <w:rPr>
          <w:rFonts w:ascii="楷体" w:hAnsi="楷体" w:eastAsia="楷体"/>
          <w:sz w:val="30"/>
        </w:rPr>
      </w:pPr>
      <w:r>
        <w:rPr>
          <w:rFonts w:hint="eastAsia" w:ascii="楷体" w:hAnsi="楷体" w:eastAsia="楷体"/>
          <w:sz w:val="30"/>
        </w:rPr>
        <w:t>18、磋商响应截止时间</w:t>
      </w:r>
    </w:p>
    <w:p>
      <w:pPr>
        <w:spacing w:line="360" w:lineRule="auto"/>
        <w:ind w:firstLine="480" w:firstLineChars="200"/>
        <w:rPr>
          <w:rFonts w:ascii="楷体" w:hAnsi="楷体" w:eastAsia="楷体"/>
          <w:sz w:val="24"/>
        </w:rPr>
      </w:pPr>
      <w:r>
        <w:rPr>
          <w:rFonts w:hint="eastAsia" w:ascii="楷体" w:hAnsi="楷体" w:eastAsia="楷体"/>
          <w:sz w:val="24"/>
        </w:rPr>
        <w:t>18.1供应商必须在磋商文件规定的磋商响应文件提交期间内将磋商响应文件送达磋商邀请指定的磋商地点。</w:t>
      </w:r>
    </w:p>
    <w:p>
      <w:pPr>
        <w:spacing w:line="360" w:lineRule="auto"/>
        <w:ind w:firstLine="480" w:firstLineChars="200"/>
        <w:rPr>
          <w:rFonts w:ascii="楷体" w:hAnsi="楷体" w:eastAsia="楷体"/>
          <w:sz w:val="24"/>
        </w:rPr>
      </w:pPr>
      <w:r>
        <w:rPr>
          <w:rFonts w:hint="eastAsia" w:ascii="楷体" w:hAnsi="楷体" w:eastAsia="楷体"/>
          <w:sz w:val="24"/>
        </w:rPr>
        <w:t>18.2在磋商截止时间以后送达的磋商响应文件，磋商组织方拒绝接收。</w:t>
      </w:r>
    </w:p>
    <w:p>
      <w:pPr>
        <w:spacing w:line="360" w:lineRule="auto"/>
        <w:ind w:firstLine="480" w:firstLineChars="200"/>
        <w:rPr>
          <w:rFonts w:ascii="楷体" w:hAnsi="楷体" w:eastAsia="楷体"/>
          <w:sz w:val="24"/>
        </w:rPr>
      </w:pPr>
      <w:r>
        <w:rPr>
          <w:rFonts w:hint="eastAsia" w:ascii="楷体" w:hAnsi="楷体" w:eastAsia="楷体"/>
          <w:sz w:val="24"/>
        </w:rPr>
        <w:t>18.3磋商组织方可以通过修改磋商文件自行酌情延长磋商截止时间，在此情况下，推迟磋商截止时间将以书面形式告知所有已完成报名的供应商。</w:t>
      </w:r>
    </w:p>
    <w:p>
      <w:pPr>
        <w:pStyle w:val="4"/>
        <w:keepNext w:val="0"/>
        <w:keepLines w:val="0"/>
        <w:spacing w:after="0" w:line="360" w:lineRule="auto"/>
        <w:rPr>
          <w:rFonts w:ascii="楷体" w:hAnsi="楷体" w:eastAsia="楷体"/>
          <w:sz w:val="30"/>
        </w:rPr>
      </w:pPr>
      <w:r>
        <w:rPr>
          <w:rFonts w:hint="eastAsia" w:ascii="楷体" w:hAnsi="楷体" w:eastAsia="楷体"/>
          <w:sz w:val="30"/>
        </w:rPr>
        <w:t>19、磋商响应文件的修改和撤回</w:t>
      </w:r>
    </w:p>
    <w:p>
      <w:pPr>
        <w:spacing w:line="360" w:lineRule="auto"/>
        <w:ind w:firstLine="480" w:firstLineChars="200"/>
        <w:rPr>
          <w:rFonts w:ascii="楷体" w:hAnsi="楷体" w:eastAsia="楷体"/>
          <w:sz w:val="24"/>
        </w:rPr>
      </w:pPr>
      <w:r>
        <w:rPr>
          <w:rFonts w:hint="eastAsia" w:ascii="楷体" w:hAnsi="楷体" w:eastAsia="楷体"/>
          <w:sz w:val="24"/>
        </w:rPr>
        <w:t>19.1供应商在递交磋商响应文件截止时间前，可以对所递交的磋商响应文件进行补充、</w:t>
      </w:r>
    </w:p>
    <w:p>
      <w:pPr>
        <w:spacing w:line="360" w:lineRule="auto"/>
        <w:rPr>
          <w:rFonts w:ascii="楷体" w:hAnsi="楷体" w:eastAsia="楷体"/>
          <w:sz w:val="24"/>
        </w:rPr>
      </w:pPr>
      <w:r>
        <w:rPr>
          <w:rFonts w:hint="eastAsia" w:ascii="楷体" w:hAnsi="楷体" w:eastAsia="楷体"/>
          <w:sz w:val="24"/>
        </w:rPr>
        <w:t>修改或者撤回，并书面通知磋商组织方。补充、修改的内容应当签署、盖章、密封，包装物上应注明“补充”、“修改”或“撤回”字样。补充、修改的内容作为磋商响应文件的组成部分。</w:t>
      </w:r>
    </w:p>
    <w:p>
      <w:pPr>
        <w:spacing w:line="360" w:lineRule="auto"/>
        <w:ind w:firstLine="480" w:firstLineChars="200"/>
        <w:rPr>
          <w:rFonts w:ascii="楷体" w:hAnsi="楷体" w:eastAsia="楷体"/>
          <w:sz w:val="24"/>
        </w:rPr>
      </w:pPr>
      <w:r>
        <w:rPr>
          <w:rFonts w:hint="eastAsia" w:ascii="楷体" w:hAnsi="楷体" w:eastAsia="楷体"/>
          <w:sz w:val="24"/>
        </w:rPr>
        <w:t>19.2在磋商截止时间之后，供应商不得对其磋商响应文件作任何补充、修改。</w:t>
      </w:r>
    </w:p>
    <w:p>
      <w:pPr>
        <w:pStyle w:val="3"/>
        <w:keepNext w:val="0"/>
        <w:keepLines w:val="0"/>
        <w:spacing w:line="440" w:lineRule="exact"/>
        <w:rPr>
          <w:rFonts w:ascii="楷体" w:hAnsi="楷体" w:eastAsia="楷体"/>
          <w:sz w:val="32"/>
          <w:szCs w:val="32"/>
        </w:rPr>
      </w:pPr>
      <w:r>
        <w:rPr>
          <w:rFonts w:hint="eastAsia" w:ascii="楷体" w:hAnsi="楷体" w:eastAsia="楷体"/>
          <w:sz w:val="32"/>
          <w:szCs w:val="32"/>
        </w:rPr>
        <w:t>五、磋商与评定</w:t>
      </w:r>
    </w:p>
    <w:p>
      <w:pPr>
        <w:pStyle w:val="4"/>
        <w:keepNext w:val="0"/>
        <w:keepLines w:val="0"/>
        <w:spacing w:line="440" w:lineRule="exact"/>
        <w:rPr>
          <w:rFonts w:ascii="楷体" w:hAnsi="楷体" w:eastAsia="楷体"/>
          <w:sz w:val="30"/>
        </w:rPr>
      </w:pPr>
      <w:r>
        <w:rPr>
          <w:rFonts w:hint="eastAsia" w:ascii="楷体" w:hAnsi="楷体" w:eastAsia="楷体"/>
          <w:sz w:val="30"/>
        </w:rPr>
        <w:t>20、磋商小组组成及磋商文件确认</w:t>
      </w:r>
    </w:p>
    <w:p>
      <w:pPr>
        <w:spacing w:line="440" w:lineRule="exact"/>
        <w:ind w:firstLine="480" w:firstLineChars="200"/>
        <w:rPr>
          <w:rFonts w:ascii="楷体" w:hAnsi="楷体" w:eastAsia="楷体"/>
          <w:sz w:val="24"/>
        </w:rPr>
      </w:pPr>
      <w:r>
        <w:rPr>
          <w:rFonts w:hint="eastAsia" w:ascii="楷体" w:hAnsi="楷体" w:eastAsia="楷体"/>
          <w:sz w:val="24"/>
        </w:rPr>
        <w:t>20.1磋商组织方将在“磋商文件”中规定的时间和地点进行磋商活动。</w:t>
      </w:r>
    </w:p>
    <w:p>
      <w:pPr>
        <w:spacing w:line="360" w:lineRule="auto"/>
        <w:ind w:firstLine="480" w:firstLineChars="200"/>
        <w:rPr>
          <w:rFonts w:ascii="楷体" w:hAnsi="楷体" w:eastAsia="楷体"/>
          <w:sz w:val="24"/>
        </w:rPr>
      </w:pPr>
      <w:r>
        <w:rPr>
          <w:rFonts w:hint="eastAsia" w:ascii="楷体" w:hAnsi="楷体" w:eastAsia="楷体"/>
          <w:sz w:val="24"/>
        </w:rPr>
        <w:t>20.2 按照本项目须知条款第19条规定，同意撤回的磋商响应文件将不予开封。</w:t>
      </w:r>
    </w:p>
    <w:p>
      <w:pPr>
        <w:spacing w:line="360" w:lineRule="auto"/>
        <w:ind w:firstLine="480" w:firstLineChars="200"/>
        <w:rPr>
          <w:rFonts w:ascii="楷体" w:hAnsi="楷体" w:eastAsia="楷体"/>
          <w:sz w:val="24"/>
        </w:rPr>
      </w:pPr>
      <w:r>
        <w:rPr>
          <w:rFonts w:hint="eastAsia" w:ascii="楷体" w:hAnsi="楷体" w:eastAsia="楷体"/>
          <w:sz w:val="24"/>
        </w:rPr>
        <w:t>20.3磋商时，由供应商或者其推选的代表检查磋商响应文件的密封情况，并当众宣读磋商顺序号及供应商名称。</w:t>
      </w:r>
    </w:p>
    <w:p>
      <w:pPr>
        <w:spacing w:line="360" w:lineRule="auto"/>
        <w:ind w:firstLine="480" w:firstLineChars="200"/>
        <w:rPr>
          <w:rFonts w:ascii="楷体" w:hAnsi="楷体" w:eastAsia="楷体"/>
          <w:sz w:val="24"/>
        </w:rPr>
      </w:pPr>
      <w:r>
        <w:rPr>
          <w:rFonts w:hint="eastAsia" w:ascii="楷体" w:hAnsi="楷体" w:eastAsia="楷体"/>
          <w:sz w:val="24"/>
        </w:rPr>
        <w:t>20.4 磋商小组由3人或3人以上（单数）组成。</w:t>
      </w:r>
    </w:p>
    <w:p>
      <w:pPr>
        <w:spacing w:line="360" w:lineRule="auto"/>
        <w:ind w:firstLine="480" w:firstLineChars="200"/>
        <w:rPr>
          <w:rFonts w:ascii="楷体" w:hAnsi="楷体" w:eastAsia="楷体"/>
          <w:sz w:val="24"/>
        </w:rPr>
      </w:pPr>
      <w:r>
        <w:rPr>
          <w:rFonts w:hint="eastAsia" w:ascii="楷体" w:hAnsi="楷体" w:eastAsia="楷体"/>
          <w:sz w:val="24"/>
        </w:rPr>
        <w:t>20.5 磋商文件由磋商小组确认并出具书面意见。</w:t>
      </w:r>
    </w:p>
    <w:p>
      <w:pPr>
        <w:pStyle w:val="4"/>
        <w:keepNext w:val="0"/>
        <w:keepLines w:val="0"/>
        <w:spacing w:after="0" w:line="360" w:lineRule="auto"/>
        <w:rPr>
          <w:rFonts w:ascii="楷体" w:hAnsi="楷体" w:eastAsia="楷体"/>
          <w:sz w:val="30"/>
        </w:rPr>
      </w:pPr>
      <w:r>
        <w:rPr>
          <w:rFonts w:hint="eastAsia" w:ascii="楷体" w:hAnsi="楷体" w:eastAsia="楷体"/>
          <w:sz w:val="30"/>
        </w:rPr>
        <w:t>21、磋商过程的保密</w:t>
      </w:r>
    </w:p>
    <w:p>
      <w:pPr>
        <w:spacing w:line="360" w:lineRule="auto"/>
        <w:ind w:firstLine="480" w:firstLineChars="200"/>
        <w:rPr>
          <w:rFonts w:ascii="楷体" w:hAnsi="楷体" w:eastAsia="楷体"/>
          <w:sz w:val="24"/>
        </w:rPr>
      </w:pPr>
      <w:r>
        <w:rPr>
          <w:rFonts w:hint="eastAsia" w:ascii="楷体" w:hAnsi="楷体" w:eastAsia="楷体"/>
          <w:sz w:val="24"/>
        </w:rPr>
        <w:t>21.1磋商将采取磋商小组所有成员集中与单一供应商分别进行磋商的方式（不向其他</w:t>
      </w:r>
    </w:p>
    <w:p>
      <w:pPr>
        <w:spacing w:line="360" w:lineRule="auto"/>
        <w:rPr>
          <w:rFonts w:ascii="楷体" w:hAnsi="楷体" w:eastAsia="楷体"/>
          <w:sz w:val="24"/>
        </w:rPr>
      </w:pPr>
      <w:r>
        <w:rPr>
          <w:rFonts w:hint="eastAsia" w:ascii="楷体" w:hAnsi="楷体" w:eastAsia="楷体"/>
          <w:sz w:val="24"/>
        </w:rPr>
        <w:t>供应商公布、透露其价格等信息）。磋商开始后，至向成交的供应商授予合同时止，与审查、澄清、评价和比较磋商响应的有关资料以及成交建议等，均不得向供应商以及评定无关的其他人员透露。</w:t>
      </w:r>
    </w:p>
    <w:p>
      <w:pPr>
        <w:spacing w:line="360" w:lineRule="auto"/>
        <w:ind w:firstLine="480" w:firstLineChars="200"/>
        <w:rPr>
          <w:rFonts w:ascii="楷体" w:hAnsi="楷体" w:eastAsia="楷体"/>
          <w:sz w:val="24"/>
        </w:rPr>
      </w:pPr>
      <w:r>
        <w:rPr>
          <w:rFonts w:hint="eastAsia" w:ascii="楷体" w:hAnsi="楷体" w:eastAsia="楷体"/>
          <w:sz w:val="24"/>
        </w:rPr>
        <w:t>21.2在磋商过程中，如果供应商试图在磋商响应文件审查、澄清、比较及授予建议等</w:t>
      </w:r>
    </w:p>
    <w:p>
      <w:pPr>
        <w:spacing w:line="360" w:lineRule="auto"/>
        <w:rPr>
          <w:rFonts w:ascii="楷体" w:hAnsi="楷体" w:eastAsia="楷体"/>
          <w:sz w:val="24"/>
        </w:rPr>
      </w:pPr>
      <w:r>
        <w:rPr>
          <w:rFonts w:hint="eastAsia" w:ascii="楷体" w:hAnsi="楷体" w:eastAsia="楷体"/>
          <w:sz w:val="24"/>
        </w:rPr>
        <w:t>方面向磋商组织方或参加磋商的人员施加任何影响，都将会导致其响应被拒绝。</w:t>
      </w:r>
    </w:p>
    <w:p>
      <w:pPr>
        <w:spacing w:before="260" w:line="440" w:lineRule="exact"/>
        <w:rPr>
          <w:rFonts w:ascii="楷体" w:hAnsi="楷体" w:eastAsia="楷体"/>
          <w:b/>
          <w:sz w:val="30"/>
          <w:szCs w:val="30"/>
        </w:rPr>
      </w:pPr>
      <w:r>
        <w:rPr>
          <w:rFonts w:hint="eastAsia" w:ascii="楷体" w:hAnsi="楷体" w:eastAsia="楷体"/>
          <w:b/>
          <w:sz w:val="30"/>
          <w:szCs w:val="30"/>
        </w:rPr>
        <w:t>22、磋商小组磋商注意事项</w:t>
      </w:r>
    </w:p>
    <w:p>
      <w:pPr>
        <w:spacing w:line="440" w:lineRule="exact"/>
        <w:ind w:firstLine="480" w:firstLineChars="200"/>
        <w:rPr>
          <w:rFonts w:ascii="楷体" w:hAnsi="楷体" w:eastAsia="楷体"/>
          <w:sz w:val="24"/>
        </w:rPr>
      </w:pPr>
      <w:r>
        <w:rPr>
          <w:rFonts w:hint="eastAsia" w:ascii="楷体" w:hAnsi="楷体" w:eastAsia="楷体"/>
          <w:sz w:val="24"/>
        </w:rPr>
        <w:t>22.1磋商时，磋商小组各成员应当独立对每个供应商的磋商响应文件进行评价，并汇总每个供应商的得分。</w:t>
      </w:r>
    </w:p>
    <w:p>
      <w:pPr>
        <w:spacing w:line="440" w:lineRule="exact"/>
        <w:ind w:firstLine="477" w:firstLineChars="199"/>
        <w:rPr>
          <w:rFonts w:ascii="楷体" w:hAnsi="楷体" w:eastAsia="楷体"/>
          <w:sz w:val="24"/>
        </w:rPr>
      </w:pPr>
      <w:r>
        <w:rPr>
          <w:rFonts w:hint="eastAsia" w:ascii="楷体" w:hAnsi="楷体" w:eastAsia="楷体"/>
          <w:sz w:val="24"/>
        </w:rPr>
        <w:t>22.2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pPr>
        <w:spacing w:line="440" w:lineRule="exact"/>
        <w:ind w:firstLine="477" w:firstLineChars="199"/>
        <w:rPr>
          <w:rFonts w:ascii="楷体" w:hAnsi="楷体" w:eastAsia="楷体"/>
          <w:sz w:val="24"/>
        </w:rPr>
      </w:pPr>
      <w:r>
        <w:rPr>
          <w:rFonts w:hint="eastAsia" w:ascii="楷体" w:hAnsi="楷体" w:eastAsia="楷体"/>
          <w:sz w:val="24"/>
        </w:rPr>
        <w:t>22.3磋商小组成员对需要共同认定的事项存在争议的，应当按照少数服从多数的原则作出结论。持不同意见的磋商小组成员应当在磋商报告上签署不同意见及理由，否则视为同意磋商报告。</w:t>
      </w:r>
    </w:p>
    <w:p>
      <w:pPr>
        <w:spacing w:line="440" w:lineRule="exact"/>
        <w:ind w:firstLine="477" w:firstLineChars="199"/>
        <w:rPr>
          <w:rFonts w:ascii="楷体" w:hAnsi="楷体" w:eastAsia="楷体"/>
          <w:sz w:val="24"/>
        </w:rPr>
      </w:pPr>
      <w:r>
        <w:rPr>
          <w:rFonts w:hint="eastAsia" w:ascii="楷体" w:hAnsi="楷体" w:eastAsia="楷体"/>
          <w:sz w:val="24"/>
        </w:rPr>
        <w:t>22.4磋商小组及其成员不得有下列行为：</w:t>
      </w:r>
    </w:p>
    <w:p>
      <w:pPr>
        <w:spacing w:line="440" w:lineRule="exact"/>
        <w:ind w:firstLine="480" w:firstLineChars="200"/>
        <w:rPr>
          <w:rFonts w:ascii="楷体" w:hAnsi="楷体" w:eastAsia="楷体"/>
          <w:sz w:val="24"/>
        </w:rPr>
      </w:pPr>
      <w:r>
        <w:rPr>
          <w:rFonts w:hint="eastAsia" w:ascii="楷体" w:hAnsi="楷体" w:eastAsia="楷体"/>
          <w:sz w:val="24"/>
        </w:rPr>
        <w:t>（1）确定参与磋商至磋商结束前私自接触供应商；</w:t>
      </w:r>
    </w:p>
    <w:p>
      <w:pPr>
        <w:spacing w:line="440" w:lineRule="exact"/>
        <w:ind w:firstLine="480" w:firstLineChars="200"/>
        <w:rPr>
          <w:rFonts w:ascii="楷体" w:hAnsi="楷体" w:eastAsia="楷体"/>
          <w:sz w:val="24"/>
        </w:rPr>
      </w:pPr>
      <w:r>
        <w:rPr>
          <w:rFonts w:hint="eastAsia" w:ascii="楷体" w:hAnsi="楷体" w:eastAsia="楷体"/>
          <w:sz w:val="24"/>
        </w:rPr>
        <w:t>（2）接受供应商提出的与磋商响应文件不一致的澄清或者说明；</w:t>
      </w:r>
    </w:p>
    <w:p>
      <w:pPr>
        <w:spacing w:line="440" w:lineRule="exact"/>
        <w:ind w:firstLine="480" w:firstLineChars="200"/>
        <w:rPr>
          <w:rFonts w:ascii="楷体" w:hAnsi="楷体" w:eastAsia="楷体"/>
          <w:sz w:val="24"/>
        </w:rPr>
      </w:pPr>
      <w:r>
        <w:rPr>
          <w:rFonts w:hint="eastAsia" w:ascii="楷体" w:hAnsi="楷体" w:eastAsia="楷体"/>
          <w:sz w:val="24"/>
        </w:rPr>
        <w:t>（3）违反磋商纪律发表倾向性意见或者征询采购人的倾向性意见；</w:t>
      </w:r>
    </w:p>
    <w:p>
      <w:pPr>
        <w:spacing w:line="440" w:lineRule="exact"/>
        <w:ind w:firstLine="480" w:firstLineChars="200"/>
        <w:rPr>
          <w:rFonts w:ascii="楷体" w:hAnsi="楷体" w:eastAsia="楷体"/>
          <w:sz w:val="24"/>
        </w:rPr>
      </w:pPr>
      <w:r>
        <w:rPr>
          <w:rFonts w:hint="eastAsia" w:ascii="楷体" w:hAnsi="楷体" w:eastAsia="楷体"/>
          <w:sz w:val="24"/>
        </w:rPr>
        <w:t>（4）对需要专业判断的主观评审因素协商评分；</w:t>
      </w:r>
    </w:p>
    <w:p>
      <w:pPr>
        <w:spacing w:line="440" w:lineRule="exact"/>
        <w:ind w:firstLine="480" w:firstLineChars="200"/>
        <w:rPr>
          <w:rFonts w:ascii="楷体" w:hAnsi="楷体" w:eastAsia="楷体"/>
          <w:sz w:val="24"/>
        </w:rPr>
      </w:pPr>
      <w:r>
        <w:rPr>
          <w:rFonts w:hint="eastAsia" w:ascii="楷体" w:hAnsi="楷体" w:eastAsia="楷体"/>
          <w:sz w:val="24"/>
        </w:rPr>
        <w:t>（5）在磋商过程中擅离职守，影响磋商程序正常进行的；</w:t>
      </w:r>
    </w:p>
    <w:p>
      <w:pPr>
        <w:spacing w:line="440" w:lineRule="exact"/>
        <w:ind w:firstLine="480" w:firstLineChars="200"/>
        <w:rPr>
          <w:rFonts w:ascii="楷体" w:hAnsi="楷体" w:eastAsia="楷体"/>
          <w:sz w:val="24"/>
        </w:rPr>
      </w:pPr>
      <w:r>
        <w:rPr>
          <w:rFonts w:hint="eastAsia" w:ascii="楷体" w:hAnsi="楷体" w:eastAsia="楷体"/>
          <w:sz w:val="24"/>
        </w:rPr>
        <w:t>（6）记录、复制或者带走任何磋商资料；</w:t>
      </w:r>
    </w:p>
    <w:p>
      <w:pPr>
        <w:spacing w:line="440" w:lineRule="exact"/>
        <w:ind w:firstLine="480" w:firstLineChars="200"/>
        <w:rPr>
          <w:rFonts w:ascii="楷体" w:hAnsi="楷体" w:eastAsia="楷体"/>
          <w:sz w:val="24"/>
        </w:rPr>
      </w:pPr>
      <w:r>
        <w:rPr>
          <w:rFonts w:hint="eastAsia" w:ascii="楷体" w:hAnsi="楷体" w:eastAsia="楷体"/>
          <w:sz w:val="24"/>
        </w:rPr>
        <w:t>（7）其他不遵守磋商纪律的行为。</w:t>
      </w:r>
    </w:p>
    <w:p>
      <w:pPr>
        <w:spacing w:line="440" w:lineRule="exact"/>
        <w:ind w:firstLine="237" w:firstLineChars="99"/>
        <w:rPr>
          <w:rFonts w:ascii="楷体" w:hAnsi="楷体" w:eastAsia="楷体"/>
          <w:sz w:val="24"/>
        </w:rPr>
      </w:pPr>
      <w:r>
        <w:rPr>
          <w:rFonts w:hint="eastAsia" w:ascii="楷体" w:hAnsi="楷体" w:eastAsia="楷体"/>
          <w:sz w:val="24"/>
        </w:rPr>
        <w:t>　磋商小组成员有上述第一至五项行为之一的，其评审意见无效，并不得获取评审劳务报酬和报销异地评审差旅费。</w:t>
      </w:r>
    </w:p>
    <w:p>
      <w:pPr>
        <w:spacing w:line="440" w:lineRule="exact"/>
        <w:ind w:firstLine="477" w:firstLineChars="199"/>
        <w:rPr>
          <w:rFonts w:ascii="楷体" w:hAnsi="楷体" w:eastAsia="楷体"/>
          <w:sz w:val="24"/>
        </w:rPr>
      </w:pPr>
      <w:r>
        <w:rPr>
          <w:rFonts w:hint="eastAsia" w:ascii="楷体" w:hAnsi="楷体" w:eastAsia="楷体"/>
          <w:sz w:val="24"/>
        </w:rPr>
        <w:t>22.5磋商中因磋商小组成员缺席、回避或者健康等特殊原因导致磋商小组组成不符合相关法律法规规定的，采购人、磋商组织方将依法补足后继续磋商，被更换的磋商小组成员所作出的磋商意见无效。无法及时补足磋商小组成员的，采购人、磋商组织方将停止磋商活动，封存所有磋商响应文件和开标、磋商资料，依法重新组建磋商小组进行磋商，原磋商小组所作出的磋商意见无效。采购人、磋商组织方将变更、重新组建磋商小组的情况予以记录，并随采购文件一并存档。</w:t>
      </w:r>
    </w:p>
    <w:p>
      <w:pPr>
        <w:spacing w:line="440" w:lineRule="exact"/>
        <w:ind w:firstLine="477" w:firstLineChars="199"/>
        <w:rPr>
          <w:rFonts w:ascii="楷体" w:hAnsi="楷体" w:eastAsia="楷体"/>
          <w:sz w:val="24"/>
        </w:rPr>
      </w:pPr>
      <w:r>
        <w:rPr>
          <w:rFonts w:hint="eastAsia" w:ascii="楷体" w:hAnsi="楷体" w:eastAsia="楷体"/>
          <w:sz w:val="24"/>
        </w:rPr>
        <w:t>22.6磋商小组发现磋商文件存在歧义、重大缺陷导致磋商工作无法进行，或者磋商文件内容违反国家有关强制性规定的，应当停止磋商工作，与采购人、磋商组织方沟通并作书面记录。采购人、磋商组织方确认后，应当修改磋商文件，重新组织采购活动。</w:t>
      </w:r>
    </w:p>
    <w:p>
      <w:pPr>
        <w:pStyle w:val="4"/>
        <w:keepNext w:val="0"/>
        <w:keepLines w:val="0"/>
        <w:spacing w:line="440" w:lineRule="exact"/>
        <w:rPr>
          <w:rFonts w:ascii="楷体" w:hAnsi="楷体" w:eastAsia="楷体"/>
          <w:sz w:val="30"/>
        </w:rPr>
      </w:pPr>
      <w:r>
        <w:rPr>
          <w:rFonts w:hint="eastAsia" w:ascii="楷体" w:hAnsi="楷体" w:eastAsia="楷体"/>
          <w:sz w:val="30"/>
        </w:rPr>
        <w:t>23、磋商响应文件的初审</w:t>
      </w:r>
    </w:p>
    <w:p>
      <w:pPr>
        <w:spacing w:line="440" w:lineRule="exact"/>
        <w:ind w:firstLine="480" w:firstLineChars="200"/>
        <w:rPr>
          <w:rFonts w:ascii="楷体" w:hAnsi="楷体" w:eastAsia="楷体"/>
          <w:sz w:val="24"/>
        </w:rPr>
      </w:pPr>
      <w:r>
        <w:rPr>
          <w:rFonts w:hint="eastAsia" w:ascii="楷体" w:hAnsi="楷体" w:eastAsia="楷体"/>
          <w:sz w:val="24"/>
        </w:rPr>
        <w:t>23.1依据法律法规和磋商文件的规定，对磋商响应文件中的资格证明文件等进行审查，以确定供应商是否具备磋商资格。资格审查的内容如下：</w:t>
      </w:r>
    </w:p>
    <w:tbl>
      <w:tblPr>
        <w:tblStyle w:val="5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507"/>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b/>
                <w:sz w:val="24"/>
              </w:rPr>
            </w:pPr>
            <w:r>
              <w:rPr>
                <w:rFonts w:hint="eastAsia" w:ascii="楷体" w:hAnsi="楷体" w:eastAsia="楷体"/>
                <w:b/>
                <w:sz w:val="24"/>
              </w:rPr>
              <w:t>序号</w:t>
            </w:r>
          </w:p>
        </w:tc>
        <w:tc>
          <w:tcPr>
            <w:tcW w:w="3507" w:type="dxa"/>
            <w:vAlign w:val="center"/>
          </w:tcPr>
          <w:p>
            <w:pPr>
              <w:spacing w:line="360" w:lineRule="auto"/>
              <w:jc w:val="center"/>
              <w:rPr>
                <w:rFonts w:ascii="楷体" w:hAnsi="楷体" w:eastAsia="楷体"/>
                <w:b/>
                <w:sz w:val="24"/>
              </w:rPr>
            </w:pPr>
            <w:r>
              <w:rPr>
                <w:rFonts w:hint="eastAsia" w:ascii="楷体" w:hAnsi="楷体" w:eastAsia="楷体"/>
                <w:b/>
                <w:sz w:val="24"/>
              </w:rPr>
              <w:t>审查要素</w:t>
            </w:r>
          </w:p>
        </w:tc>
        <w:tc>
          <w:tcPr>
            <w:tcW w:w="5157" w:type="dxa"/>
            <w:vAlign w:val="center"/>
          </w:tcPr>
          <w:p>
            <w:pPr>
              <w:spacing w:line="360" w:lineRule="auto"/>
              <w:jc w:val="center"/>
              <w:rPr>
                <w:rFonts w:ascii="楷体" w:hAnsi="楷体" w:eastAsia="楷体"/>
                <w:b/>
                <w:sz w:val="24"/>
              </w:rPr>
            </w:pPr>
            <w:r>
              <w:rPr>
                <w:rFonts w:hint="eastAsia" w:ascii="楷体" w:hAnsi="楷体" w:eastAsia="楷体"/>
                <w:b/>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1</w:t>
            </w:r>
          </w:p>
        </w:tc>
        <w:tc>
          <w:tcPr>
            <w:tcW w:w="3507" w:type="dxa"/>
            <w:vAlign w:val="center"/>
          </w:tcPr>
          <w:p>
            <w:pPr>
              <w:spacing w:line="360" w:lineRule="auto"/>
              <w:rPr>
                <w:rFonts w:ascii="楷体" w:hAnsi="楷体" w:eastAsia="楷体"/>
                <w:sz w:val="24"/>
              </w:rPr>
            </w:pPr>
            <w:r>
              <w:rPr>
                <w:rFonts w:hint="eastAsia" w:ascii="楷体" w:hAnsi="楷体" w:eastAsia="楷体"/>
                <w:sz w:val="24"/>
              </w:rPr>
              <w:t>具有独立承担民事责任的能力</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提供法人或者其他组织的营业执照等证明文件；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2</w:t>
            </w:r>
          </w:p>
        </w:tc>
        <w:tc>
          <w:tcPr>
            <w:tcW w:w="3507" w:type="dxa"/>
            <w:vAlign w:val="center"/>
          </w:tcPr>
          <w:p>
            <w:pPr>
              <w:spacing w:line="360" w:lineRule="auto"/>
              <w:jc w:val="left"/>
              <w:rPr>
                <w:rFonts w:ascii="楷体" w:hAnsi="楷体" w:eastAsia="楷体"/>
                <w:sz w:val="24"/>
              </w:rPr>
            </w:pPr>
            <w:r>
              <w:rPr>
                <w:rFonts w:hint="eastAsia" w:ascii="楷体" w:hAnsi="楷体" w:eastAsia="楷体"/>
                <w:sz w:val="24"/>
              </w:rPr>
              <w:t>具有履行合同所必需的设备和专业技术能力</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供应商相关信息一览表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3</w:t>
            </w:r>
          </w:p>
        </w:tc>
        <w:tc>
          <w:tcPr>
            <w:tcW w:w="3507" w:type="dxa"/>
            <w:vAlign w:val="center"/>
          </w:tcPr>
          <w:p>
            <w:pPr>
              <w:spacing w:line="360" w:lineRule="auto"/>
              <w:jc w:val="left"/>
              <w:rPr>
                <w:rFonts w:ascii="楷体" w:hAnsi="楷体" w:eastAsia="楷体"/>
                <w:sz w:val="24"/>
              </w:rPr>
            </w:pPr>
            <w:r>
              <w:rPr>
                <w:rFonts w:hint="eastAsia" w:ascii="楷体" w:hAnsi="楷体" w:eastAsia="楷体"/>
                <w:sz w:val="24"/>
              </w:rPr>
              <w:t>参加政府采购活动前三年内，在经营活动中没有重大违法记录</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磋商承诺函第10条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4</w:t>
            </w:r>
          </w:p>
        </w:tc>
        <w:tc>
          <w:tcPr>
            <w:tcW w:w="3507" w:type="dxa"/>
            <w:vAlign w:val="center"/>
          </w:tcPr>
          <w:p>
            <w:pPr>
              <w:spacing w:line="360" w:lineRule="auto"/>
              <w:jc w:val="center"/>
              <w:rPr>
                <w:rFonts w:ascii="楷体" w:hAnsi="楷体" w:eastAsia="楷体"/>
                <w:sz w:val="24"/>
              </w:rPr>
            </w:pPr>
            <w:r>
              <w:rPr>
                <w:rFonts w:hint="eastAsia" w:ascii="楷体" w:hAnsi="楷体" w:eastAsia="楷体"/>
                <w:sz w:val="24"/>
              </w:rPr>
              <w:t>磋商保证金缴纳情况</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磋商保证金缴纳凭证或相关记录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5</w:t>
            </w:r>
          </w:p>
        </w:tc>
        <w:tc>
          <w:tcPr>
            <w:tcW w:w="3507" w:type="dxa"/>
            <w:vAlign w:val="center"/>
          </w:tcPr>
          <w:p>
            <w:pPr>
              <w:spacing w:line="360" w:lineRule="auto"/>
              <w:jc w:val="center"/>
              <w:rPr>
                <w:rFonts w:ascii="楷体" w:hAnsi="楷体" w:eastAsia="楷体"/>
                <w:sz w:val="24"/>
              </w:rPr>
            </w:pPr>
            <w:r>
              <w:rPr>
                <w:rFonts w:hint="eastAsia" w:ascii="楷体" w:hAnsi="楷体" w:eastAsia="楷体"/>
                <w:sz w:val="24"/>
              </w:rPr>
              <w:t>信用查询</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“信用中国”网站（www.creditchina.gov.cn）、中国政府采购网（www.ccgp.gov.cn）、“信用江苏”网站（http://www.jscredit.gov.cn）查询到的网页记录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6</w:t>
            </w:r>
          </w:p>
        </w:tc>
        <w:tc>
          <w:tcPr>
            <w:tcW w:w="3507" w:type="dxa"/>
            <w:vAlign w:val="center"/>
          </w:tcPr>
          <w:p>
            <w:pPr>
              <w:spacing w:line="360" w:lineRule="auto"/>
              <w:jc w:val="center"/>
              <w:rPr>
                <w:rFonts w:ascii="楷体" w:hAnsi="楷体" w:eastAsia="楷体"/>
                <w:sz w:val="24"/>
              </w:rPr>
            </w:pPr>
            <w:r>
              <w:rPr>
                <w:rFonts w:hint="eastAsia" w:ascii="楷体" w:hAnsi="楷体" w:eastAsia="楷体"/>
                <w:sz w:val="24"/>
              </w:rPr>
              <w:t>法律、法规和磋商文件规定的其他资格</w:t>
            </w:r>
          </w:p>
        </w:tc>
        <w:tc>
          <w:tcPr>
            <w:tcW w:w="5157" w:type="dxa"/>
            <w:vAlign w:val="center"/>
          </w:tcPr>
          <w:p>
            <w:pPr>
              <w:spacing w:line="360" w:lineRule="auto"/>
              <w:rPr>
                <w:rFonts w:ascii="楷体" w:hAnsi="楷体" w:eastAsia="楷体"/>
                <w:sz w:val="24"/>
              </w:rPr>
            </w:pPr>
            <w:r>
              <w:rPr>
                <w:rFonts w:ascii="楷体" w:hAnsi="楷体" w:eastAsia="楷体"/>
                <w:sz w:val="24"/>
              </w:rPr>
              <w:t>201</w:t>
            </w:r>
            <w:r>
              <w:rPr>
                <w:rFonts w:hint="eastAsia" w:ascii="楷体" w:hAnsi="楷体" w:eastAsia="楷体"/>
                <w:sz w:val="24"/>
              </w:rPr>
              <w:t>7年8月</w:t>
            </w:r>
            <w:r>
              <w:rPr>
                <w:rFonts w:ascii="楷体" w:hAnsi="楷体" w:eastAsia="楷体"/>
                <w:sz w:val="24"/>
              </w:rPr>
              <w:t>1</w:t>
            </w:r>
            <w:r>
              <w:rPr>
                <w:rFonts w:hint="eastAsia" w:ascii="楷体" w:hAnsi="楷体" w:eastAsia="楷体"/>
                <w:sz w:val="24"/>
              </w:rPr>
              <w:t>日（以签订合同时间为准）以来有类似项目成功案例（提供合同等证明文件）</w:t>
            </w:r>
          </w:p>
        </w:tc>
      </w:tr>
    </w:tbl>
    <w:p>
      <w:pPr>
        <w:spacing w:line="360" w:lineRule="auto"/>
        <w:rPr>
          <w:rFonts w:ascii="楷体" w:hAnsi="楷体" w:eastAsia="楷体"/>
          <w:b/>
          <w:sz w:val="10"/>
          <w:szCs w:val="10"/>
        </w:rPr>
      </w:pPr>
    </w:p>
    <w:p>
      <w:pPr>
        <w:spacing w:before="260" w:after="260" w:line="360" w:lineRule="auto"/>
        <w:rPr>
          <w:rFonts w:ascii="楷体" w:hAnsi="楷体" w:eastAsia="楷体"/>
          <w:b/>
          <w:sz w:val="30"/>
        </w:rPr>
      </w:pPr>
      <w:r>
        <w:rPr>
          <w:rFonts w:hint="eastAsia" w:ascii="楷体" w:hAnsi="楷体" w:eastAsia="楷体"/>
          <w:b/>
          <w:sz w:val="30"/>
          <w:szCs w:val="30"/>
        </w:rPr>
        <w:t>24、</w:t>
      </w:r>
      <w:r>
        <w:rPr>
          <w:rFonts w:hint="eastAsia" w:ascii="楷体" w:hAnsi="楷体" w:eastAsia="楷体"/>
          <w:b/>
          <w:sz w:val="30"/>
        </w:rPr>
        <w:t>供应商符合性审查</w:t>
      </w:r>
    </w:p>
    <w:p>
      <w:pPr>
        <w:spacing w:line="360" w:lineRule="auto"/>
        <w:ind w:firstLine="480" w:firstLineChars="200"/>
        <w:rPr>
          <w:rFonts w:ascii="楷体" w:hAnsi="楷体" w:eastAsia="楷体"/>
          <w:sz w:val="24"/>
        </w:rPr>
      </w:pPr>
      <w:r>
        <w:rPr>
          <w:rFonts w:hint="eastAsia" w:ascii="楷体" w:hAnsi="楷体" w:eastAsia="楷体"/>
          <w:sz w:val="24"/>
        </w:rPr>
        <w:t>24.1磋商小组应当对磋商响应文件进行符合性审查，审查内容主要是磋商响应文件的有效性、完整性和对磋商文件的响应程度，以确定是否满足磋商文件的实质性要求。</w:t>
      </w:r>
    </w:p>
    <w:tbl>
      <w:tblPr>
        <w:tblStyle w:val="5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507"/>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Pr>
          <w:p>
            <w:pPr>
              <w:spacing w:line="360" w:lineRule="auto"/>
              <w:jc w:val="center"/>
              <w:rPr>
                <w:rFonts w:ascii="楷体" w:hAnsi="楷体" w:eastAsia="楷体"/>
                <w:b/>
                <w:sz w:val="24"/>
              </w:rPr>
            </w:pPr>
            <w:r>
              <w:rPr>
                <w:rFonts w:hint="eastAsia" w:ascii="楷体" w:hAnsi="楷体" w:eastAsia="楷体"/>
                <w:b/>
                <w:sz w:val="24"/>
              </w:rPr>
              <w:t>序号</w:t>
            </w:r>
          </w:p>
        </w:tc>
        <w:tc>
          <w:tcPr>
            <w:tcW w:w="3507" w:type="dxa"/>
          </w:tcPr>
          <w:p>
            <w:pPr>
              <w:spacing w:line="360" w:lineRule="auto"/>
              <w:jc w:val="center"/>
              <w:rPr>
                <w:rFonts w:ascii="楷体" w:hAnsi="楷体" w:eastAsia="楷体"/>
                <w:b/>
                <w:sz w:val="24"/>
              </w:rPr>
            </w:pPr>
            <w:r>
              <w:rPr>
                <w:rFonts w:hint="eastAsia" w:ascii="楷体" w:hAnsi="楷体" w:eastAsia="楷体"/>
                <w:b/>
                <w:sz w:val="24"/>
              </w:rPr>
              <w:t>审查要素</w:t>
            </w:r>
          </w:p>
        </w:tc>
        <w:tc>
          <w:tcPr>
            <w:tcW w:w="5157" w:type="dxa"/>
          </w:tcPr>
          <w:p>
            <w:pPr>
              <w:spacing w:line="360" w:lineRule="auto"/>
              <w:jc w:val="center"/>
              <w:rPr>
                <w:rFonts w:ascii="楷体" w:hAnsi="楷体" w:eastAsia="楷体"/>
                <w:b/>
                <w:sz w:val="24"/>
              </w:rPr>
            </w:pPr>
            <w:r>
              <w:rPr>
                <w:rFonts w:hint="eastAsia" w:ascii="楷体" w:hAnsi="楷体" w:eastAsia="楷体"/>
                <w:b/>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jc w:val="center"/>
              <w:rPr>
                <w:rFonts w:ascii="楷体" w:hAnsi="楷体" w:eastAsia="楷体"/>
                <w:sz w:val="24"/>
              </w:rPr>
            </w:pPr>
            <w:r>
              <w:rPr>
                <w:rFonts w:hint="eastAsia" w:ascii="楷体" w:hAnsi="楷体" w:eastAsia="楷体"/>
                <w:sz w:val="24"/>
              </w:rPr>
              <w:t>1</w:t>
            </w:r>
          </w:p>
        </w:tc>
        <w:tc>
          <w:tcPr>
            <w:tcW w:w="3507" w:type="dxa"/>
            <w:vMerge w:val="restart"/>
            <w:vAlign w:val="center"/>
          </w:tcPr>
          <w:p>
            <w:pPr>
              <w:spacing w:line="360" w:lineRule="auto"/>
              <w:rPr>
                <w:rFonts w:ascii="楷体" w:hAnsi="楷体" w:eastAsia="楷体"/>
                <w:sz w:val="24"/>
              </w:rPr>
            </w:pPr>
            <w:r>
              <w:rPr>
                <w:rFonts w:hint="eastAsia" w:ascii="楷体" w:hAnsi="楷体" w:eastAsia="楷体"/>
                <w:sz w:val="24"/>
              </w:rPr>
              <w:t>磋商响应文件有效性</w:t>
            </w:r>
          </w:p>
        </w:tc>
        <w:tc>
          <w:tcPr>
            <w:tcW w:w="5157" w:type="dxa"/>
          </w:tcPr>
          <w:p>
            <w:pPr>
              <w:spacing w:line="360" w:lineRule="auto"/>
              <w:rPr>
                <w:rFonts w:ascii="楷体" w:hAnsi="楷体" w:eastAsia="楷体"/>
                <w:sz w:val="24"/>
              </w:rPr>
            </w:pPr>
            <w:r>
              <w:rPr>
                <w:rFonts w:hint="eastAsia" w:ascii="楷体" w:hAnsi="楷体" w:eastAsia="楷体"/>
                <w:sz w:val="24"/>
              </w:rPr>
              <w:t>磋商响应文件签署、盖章（含磋商承诺函、首轮报价表、法定代表人身份证明书和法人授权委托书）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8" w:type="dxa"/>
            <w:vMerge w:val="continue"/>
            <w:vAlign w:val="center"/>
          </w:tcPr>
          <w:p>
            <w:pPr>
              <w:spacing w:line="360" w:lineRule="auto"/>
              <w:jc w:val="center"/>
              <w:rPr>
                <w:rFonts w:ascii="楷体" w:hAnsi="楷体" w:eastAsia="楷体"/>
                <w:sz w:val="24"/>
              </w:rPr>
            </w:pPr>
          </w:p>
        </w:tc>
        <w:tc>
          <w:tcPr>
            <w:tcW w:w="3507" w:type="dxa"/>
            <w:vMerge w:val="continue"/>
            <w:vAlign w:val="center"/>
          </w:tcPr>
          <w:p>
            <w:pPr>
              <w:spacing w:line="360" w:lineRule="auto"/>
              <w:rPr>
                <w:rFonts w:ascii="楷体" w:hAnsi="楷体" w:eastAsia="楷体"/>
                <w:sz w:val="24"/>
              </w:rPr>
            </w:pPr>
          </w:p>
        </w:tc>
        <w:tc>
          <w:tcPr>
            <w:tcW w:w="5157" w:type="dxa"/>
          </w:tcPr>
          <w:p>
            <w:pPr>
              <w:spacing w:line="360" w:lineRule="auto"/>
              <w:rPr>
                <w:rFonts w:ascii="楷体" w:hAnsi="楷体" w:eastAsia="楷体"/>
                <w:sz w:val="24"/>
              </w:rPr>
            </w:pPr>
            <w:r>
              <w:rPr>
                <w:rFonts w:hint="eastAsia" w:ascii="楷体" w:hAnsi="楷体" w:eastAsia="楷体"/>
                <w:sz w:val="24"/>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jc w:val="center"/>
              <w:rPr>
                <w:rFonts w:ascii="楷体" w:hAnsi="楷体" w:eastAsia="楷体"/>
                <w:sz w:val="24"/>
              </w:rPr>
            </w:pPr>
          </w:p>
        </w:tc>
        <w:tc>
          <w:tcPr>
            <w:tcW w:w="3507" w:type="dxa"/>
            <w:vMerge w:val="continue"/>
            <w:vAlign w:val="center"/>
          </w:tcPr>
          <w:p>
            <w:pPr>
              <w:spacing w:line="360" w:lineRule="auto"/>
              <w:rPr>
                <w:rFonts w:ascii="楷体" w:hAnsi="楷体" w:eastAsia="楷体"/>
                <w:sz w:val="24"/>
              </w:rPr>
            </w:pPr>
          </w:p>
        </w:tc>
        <w:tc>
          <w:tcPr>
            <w:tcW w:w="5157" w:type="dxa"/>
          </w:tcPr>
          <w:p>
            <w:pPr>
              <w:spacing w:line="360" w:lineRule="auto"/>
              <w:rPr>
                <w:rFonts w:ascii="楷体" w:hAnsi="楷体" w:eastAsia="楷体"/>
                <w:sz w:val="24"/>
              </w:rPr>
            </w:pPr>
            <w:r>
              <w:rPr>
                <w:rFonts w:hint="eastAsia" w:ascii="楷体" w:hAnsi="楷体" w:eastAsia="楷体"/>
                <w:sz w:val="24"/>
              </w:rPr>
              <w:t>无效磋商情形的判定和处理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jc w:val="center"/>
              <w:rPr>
                <w:rFonts w:ascii="楷体" w:hAnsi="楷体" w:eastAsia="楷体"/>
                <w:sz w:val="24"/>
              </w:rPr>
            </w:pPr>
          </w:p>
        </w:tc>
        <w:tc>
          <w:tcPr>
            <w:tcW w:w="3507" w:type="dxa"/>
            <w:vMerge w:val="continue"/>
            <w:vAlign w:val="center"/>
          </w:tcPr>
          <w:p>
            <w:pPr>
              <w:spacing w:line="360" w:lineRule="auto"/>
              <w:rPr>
                <w:rFonts w:ascii="楷体" w:hAnsi="楷体" w:eastAsia="楷体"/>
                <w:sz w:val="24"/>
              </w:rPr>
            </w:pPr>
          </w:p>
        </w:tc>
        <w:tc>
          <w:tcPr>
            <w:tcW w:w="5157" w:type="dxa"/>
          </w:tcPr>
          <w:p>
            <w:pPr>
              <w:spacing w:line="360" w:lineRule="auto"/>
              <w:rPr>
                <w:rFonts w:ascii="楷体" w:hAnsi="楷体" w:eastAsia="楷体"/>
                <w:sz w:val="24"/>
              </w:rPr>
            </w:pPr>
            <w:r>
              <w:rPr>
                <w:rFonts w:hint="eastAsia" w:ascii="楷体" w:hAnsi="楷体" w:eastAsia="楷体"/>
                <w:sz w:val="24"/>
              </w:rPr>
              <w:t>法律、法规和磋商文件规定的其他资格证明材料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2</w:t>
            </w:r>
          </w:p>
        </w:tc>
        <w:tc>
          <w:tcPr>
            <w:tcW w:w="3507" w:type="dxa"/>
            <w:vAlign w:val="center"/>
          </w:tcPr>
          <w:p>
            <w:pPr>
              <w:spacing w:line="360" w:lineRule="auto"/>
              <w:rPr>
                <w:rFonts w:ascii="楷体" w:hAnsi="楷体" w:eastAsia="楷体"/>
                <w:sz w:val="24"/>
              </w:rPr>
            </w:pPr>
            <w:r>
              <w:rPr>
                <w:rFonts w:hint="eastAsia" w:ascii="楷体" w:hAnsi="楷体" w:eastAsia="楷体"/>
                <w:sz w:val="24"/>
              </w:rPr>
              <w:t>磋商响应文件完整性</w:t>
            </w:r>
          </w:p>
        </w:tc>
        <w:tc>
          <w:tcPr>
            <w:tcW w:w="5157" w:type="dxa"/>
          </w:tcPr>
          <w:p>
            <w:pPr>
              <w:spacing w:line="360" w:lineRule="auto"/>
              <w:rPr>
                <w:rFonts w:ascii="楷体" w:hAnsi="楷体" w:eastAsia="楷体"/>
                <w:sz w:val="24"/>
              </w:rPr>
            </w:pPr>
            <w:r>
              <w:rPr>
                <w:rFonts w:hint="eastAsia" w:ascii="楷体" w:hAnsi="楷体" w:eastAsia="楷体"/>
                <w:sz w:val="24"/>
              </w:rPr>
              <w:t>磋商响应文件内容完整性、齐全性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3</w:t>
            </w:r>
          </w:p>
        </w:tc>
        <w:tc>
          <w:tcPr>
            <w:tcW w:w="3507" w:type="dxa"/>
            <w:vAlign w:val="center"/>
          </w:tcPr>
          <w:p>
            <w:pPr>
              <w:spacing w:line="360" w:lineRule="auto"/>
              <w:rPr>
                <w:rFonts w:ascii="楷体" w:hAnsi="楷体" w:eastAsia="楷体"/>
                <w:sz w:val="24"/>
              </w:rPr>
            </w:pPr>
            <w:r>
              <w:rPr>
                <w:rFonts w:hint="eastAsia" w:ascii="楷体" w:hAnsi="楷体" w:eastAsia="楷体"/>
                <w:sz w:val="24"/>
              </w:rPr>
              <w:t>对磋商文件响应程度</w:t>
            </w:r>
          </w:p>
        </w:tc>
        <w:tc>
          <w:tcPr>
            <w:tcW w:w="5157" w:type="dxa"/>
          </w:tcPr>
          <w:p>
            <w:pPr>
              <w:spacing w:line="360" w:lineRule="auto"/>
              <w:rPr>
                <w:rFonts w:ascii="楷体" w:hAnsi="楷体" w:eastAsia="楷体"/>
                <w:sz w:val="24"/>
              </w:rPr>
            </w:pPr>
            <w:r>
              <w:rPr>
                <w:rFonts w:hint="eastAsia" w:ascii="楷体" w:hAnsi="楷体" w:eastAsia="楷体"/>
                <w:sz w:val="24"/>
              </w:rPr>
              <w:t>审查磋商响应文件与磋商文件要求的主要条款、条件和技术规格是否相符，是否存在重大偏离或保留。</w:t>
            </w:r>
          </w:p>
        </w:tc>
      </w:tr>
    </w:tbl>
    <w:p>
      <w:pPr>
        <w:pStyle w:val="4"/>
        <w:keepNext w:val="0"/>
        <w:keepLines w:val="0"/>
        <w:spacing w:before="0" w:after="0" w:line="360" w:lineRule="auto"/>
        <w:ind w:firstLine="480" w:firstLineChars="200"/>
        <w:rPr>
          <w:rFonts w:ascii="楷体" w:hAnsi="楷体" w:eastAsia="楷体"/>
          <w:b w:val="0"/>
          <w:sz w:val="30"/>
          <w:u w:val="single"/>
        </w:rPr>
      </w:pPr>
      <w:r>
        <w:rPr>
          <w:rFonts w:hint="eastAsia" w:ascii="楷体" w:hAnsi="楷体" w:eastAsia="楷体"/>
          <w:b w:val="0"/>
          <w:sz w:val="24"/>
          <w:u w:val="single"/>
        </w:rPr>
        <w:t>审查磋商响应文件与磋商文件要求的主要条款、条件和技术规格是否相符，是否存在重大偏离或保留。所谓重大偏离或保留系指影响到磋商文件规定的服务（或供货）范围、质量和性能的，或者在实质上与磋商文件不一致，有限制采购人权利和磋商方义务的规定，而纠正这些偏离或保留将会对其他实质上响应磋商文件的磋商方的竞争地位产生不公正的影响（重大偏离或保留的认定须经磋商小组半数以上同意）。磋商小组决定磋商响应文件的响应性只根据磋商响应文件本身的内容，而不寻求外部的证据。</w:t>
      </w:r>
    </w:p>
    <w:p>
      <w:pPr>
        <w:spacing w:before="260" w:after="260" w:line="440" w:lineRule="exact"/>
        <w:rPr>
          <w:rFonts w:ascii="楷体" w:hAnsi="楷体" w:eastAsia="楷体"/>
          <w:b/>
          <w:sz w:val="30"/>
          <w:szCs w:val="30"/>
        </w:rPr>
      </w:pPr>
      <w:r>
        <w:rPr>
          <w:rFonts w:hint="eastAsia" w:ascii="楷体" w:hAnsi="楷体" w:eastAsia="楷体"/>
          <w:b/>
          <w:sz w:val="30"/>
          <w:szCs w:val="30"/>
        </w:rPr>
        <w:t>25、无效磋商的情形</w:t>
      </w:r>
    </w:p>
    <w:p>
      <w:pPr>
        <w:spacing w:line="440" w:lineRule="exact"/>
        <w:ind w:firstLine="480" w:firstLineChars="200"/>
        <w:rPr>
          <w:rFonts w:ascii="楷体" w:hAnsi="楷体" w:eastAsia="楷体"/>
          <w:sz w:val="24"/>
        </w:rPr>
      </w:pPr>
      <w:r>
        <w:rPr>
          <w:rFonts w:hint="eastAsia" w:ascii="楷体" w:hAnsi="楷体" w:eastAsia="楷体"/>
          <w:sz w:val="24"/>
        </w:rPr>
        <w:t>供应商存在下列情况之一的，其磋商响应无效：　</w:t>
      </w:r>
    </w:p>
    <w:p>
      <w:pPr>
        <w:spacing w:line="360" w:lineRule="auto"/>
        <w:ind w:firstLine="482" w:firstLineChars="200"/>
        <w:rPr>
          <w:rFonts w:ascii="楷体" w:hAnsi="楷体" w:eastAsia="楷体"/>
          <w:b/>
          <w:sz w:val="24"/>
          <w:u w:val="single"/>
        </w:rPr>
      </w:pPr>
      <w:r>
        <w:rPr>
          <w:rFonts w:hint="eastAsia" w:ascii="楷体" w:hAnsi="楷体" w:eastAsia="楷体"/>
          <w:b/>
          <w:sz w:val="24"/>
        </w:rPr>
        <w:t>（1）</w:t>
      </w:r>
      <w:r>
        <w:rPr>
          <w:rFonts w:hint="eastAsia" w:ascii="楷体" w:hAnsi="楷体" w:eastAsia="楷体"/>
          <w:b/>
          <w:sz w:val="24"/>
          <w:u w:val="single"/>
        </w:rPr>
        <w:t>不具备磋商文件中规定的资格条件的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 xml:space="preserve"> (2)</w:t>
      </w:r>
      <w:r>
        <w:rPr>
          <w:rFonts w:hint="eastAsia" w:ascii="楷体" w:hAnsi="楷体" w:eastAsia="楷体"/>
          <w:b/>
          <w:sz w:val="24"/>
          <w:u w:val="single"/>
        </w:rPr>
        <w:t>单位负责人为同一人或者存在直接控股、管理关系的不同供应商参加同一合同项下的政府采购活动的</w:t>
      </w:r>
      <w:r>
        <w:rPr>
          <w:rFonts w:hint="eastAsia" w:ascii="楷体" w:hAnsi="楷体" w:eastAsia="楷体"/>
          <w:sz w:val="24"/>
        </w:rPr>
        <w:t>；</w:t>
      </w:r>
    </w:p>
    <w:p>
      <w:pPr>
        <w:spacing w:line="360" w:lineRule="auto"/>
        <w:ind w:firstLine="482" w:firstLineChars="200"/>
        <w:rPr>
          <w:rFonts w:ascii="楷体" w:hAnsi="楷体" w:eastAsia="楷体"/>
          <w:b/>
          <w:sz w:val="24"/>
          <w:u w:val="single"/>
        </w:rPr>
      </w:pPr>
      <w:r>
        <w:rPr>
          <w:rFonts w:hint="eastAsia" w:ascii="楷体" w:hAnsi="楷体" w:eastAsia="楷体"/>
          <w:b/>
          <w:sz w:val="24"/>
        </w:rPr>
        <w:t>（3）</w:t>
      </w:r>
      <w:r>
        <w:rPr>
          <w:rFonts w:hint="eastAsia" w:ascii="楷体" w:hAnsi="楷体" w:eastAsia="楷体"/>
          <w:b/>
          <w:sz w:val="24"/>
          <w:u w:val="single"/>
        </w:rPr>
        <w:t>未按规定由供应商的法定代表人签字或盖章；或其委托代理人未按规定签字；或未加盖供应商公章的；或签字人未经法定代表人有效授权委托的</w:t>
      </w:r>
      <w:r>
        <w:rPr>
          <w:rFonts w:hint="eastAsia" w:ascii="楷体" w:hAnsi="楷体" w:eastAsia="楷体"/>
          <w:sz w:val="24"/>
        </w:rPr>
        <w:t>；</w:t>
      </w:r>
    </w:p>
    <w:p>
      <w:pPr>
        <w:spacing w:line="360" w:lineRule="auto"/>
        <w:ind w:firstLine="482" w:firstLineChars="200"/>
        <w:rPr>
          <w:rFonts w:ascii="楷体" w:hAnsi="楷体" w:eastAsia="楷体"/>
          <w:b/>
          <w:sz w:val="24"/>
        </w:rPr>
      </w:pPr>
      <w:r>
        <w:rPr>
          <w:rFonts w:hint="eastAsia" w:ascii="楷体" w:hAnsi="楷体" w:eastAsia="楷体"/>
          <w:b/>
          <w:sz w:val="24"/>
        </w:rPr>
        <w:t>（4）</w:t>
      </w:r>
      <w:r>
        <w:rPr>
          <w:rFonts w:hint="eastAsia" w:ascii="楷体" w:hAnsi="楷体" w:eastAsia="楷体"/>
          <w:b/>
          <w:sz w:val="24"/>
          <w:u w:val="single"/>
        </w:rPr>
        <w:t>首轮或最终报价超过磋商文件中规定的预算金额；供应商提交的是可选择报价的</w:t>
      </w:r>
      <w:r>
        <w:rPr>
          <w:rFonts w:hint="eastAsia" w:ascii="楷体" w:hAnsi="楷体" w:eastAsia="楷体"/>
          <w:b/>
          <w:sz w:val="24"/>
        </w:rPr>
        <w:t>；</w:t>
      </w:r>
    </w:p>
    <w:p>
      <w:pPr>
        <w:spacing w:line="360" w:lineRule="auto"/>
        <w:ind w:firstLine="482" w:firstLineChars="200"/>
        <w:rPr>
          <w:rFonts w:ascii="楷体" w:hAnsi="楷体" w:eastAsia="楷体"/>
          <w:b/>
          <w:sz w:val="24"/>
        </w:rPr>
      </w:pPr>
      <w:r>
        <w:rPr>
          <w:rFonts w:hint="eastAsia" w:ascii="楷体" w:hAnsi="楷体" w:eastAsia="楷体"/>
          <w:b/>
          <w:sz w:val="24"/>
        </w:rPr>
        <w:t>（6）</w:t>
      </w:r>
      <w:r>
        <w:rPr>
          <w:rFonts w:hint="eastAsia" w:ascii="楷体" w:hAnsi="楷体" w:eastAsia="楷体"/>
          <w:b/>
          <w:sz w:val="24"/>
          <w:u w:val="single"/>
        </w:rPr>
        <w:t>磋商小组认为供应商的报价明显低于其他通过符合性审查供应商的报价，有可能影响产品质量或者不能诚信履约，要求供应商在磋商现场合理的时间内提供书面说明，必要时提交相关证明材料，供应商不能证明其报价合理性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（7）</w:t>
      </w:r>
      <w:r>
        <w:rPr>
          <w:rFonts w:hint="eastAsia" w:ascii="楷体" w:hAnsi="楷体" w:eastAsia="楷体"/>
          <w:b/>
          <w:sz w:val="24"/>
          <w:u w:val="single"/>
        </w:rPr>
        <w:t>磋商响应文件中改变磋商文件提供的工程量清单的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（8）</w:t>
      </w:r>
      <w:r>
        <w:rPr>
          <w:rFonts w:hint="eastAsia" w:ascii="楷体" w:hAnsi="楷体" w:eastAsia="楷体"/>
          <w:b/>
          <w:sz w:val="24"/>
          <w:u w:val="single"/>
        </w:rPr>
        <w:t>免费质保期不满足磋商文件要求的；项目工期不满足磋商文件要求的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（9）</w:t>
      </w:r>
      <w:r>
        <w:rPr>
          <w:rFonts w:hint="eastAsia" w:ascii="楷体" w:hAnsi="楷体" w:eastAsia="楷体"/>
          <w:b/>
          <w:sz w:val="24"/>
          <w:u w:val="single"/>
        </w:rPr>
        <w:t>磋商响应文件含有采购人不能接受的附加条件的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（10）</w:t>
      </w:r>
      <w:r>
        <w:rPr>
          <w:rFonts w:hint="eastAsia" w:ascii="楷体" w:hAnsi="楷体" w:eastAsia="楷体"/>
          <w:b/>
          <w:sz w:val="24"/>
          <w:u w:val="single"/>
        </w:rPr>
        <w:t>磋商响应文件中提供了虚假或失实资料的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（11）</w:t>
      </w:r>
      <w:r>
        <w:rPr>
          <w:rFonts w:hint="eastAsia" w:ascii="楷体" w:hAnsi="楷体" w:eastAsia="楷体"/>
          <w:b/>
          <w:sz w:val="24"/>
          <w:u w:val="single"/>
        </w:rPr>
        <w:t>不同供应商的磋商响应文件出现了磋商小组认为不应当雷同的</w:t>
      </w:r>
      <w:r>
        <w:rPr>
          <w:rFonts w:hint="eastAsia" w:ascii="楷体" w:hAnsi="楷体" w:eastAsia="楷体"/>
          <w:sz w:val="24"/>
        </w:rPr>
        <w:t>；</w:t>
      </w:r>
    </w:p>
    <w:p>
      <w:pPr>
        <w:spacing w:line="360" w:lineRule="auto"/>
        <w:ind w:firstLine="482" w:firstLineChars="200"/>
        <w:rPr>
          <w:rFonts w:ascii="楷体" w:hAnsi="楷体" w:eastAsia="楷体"/>
          <w:b/>
          <w:sz w:val="24"/>
        </w:rPr>
      </w:pPr>
      <w:r>
        <w:rPr>
          <w:rFonts w:hint="eastAsia" w:ascii="楷体" w:hAnsi="楷体" w:eastAsia="楷体"/>
          <w:b/>
          <w:sz w:val="24"/>
        </w:rPr>
        <w:t>（12）</w:t>
      </w:r>
      <w:r>
        <w:rPr>
          <w:rFonts w:hint="eastAsia" w:ascii="楷体" w:hAnsi="楷体" w:eastAsia="楷体"/>
          <w:b/>
          <w:sz w:val="24"/>
          <w:u w:val="single"/>
        </w:rPr>
        <w:t>不符合法律、法规和磋商文件规定的其它实质性条款（须经磋商小组半数以上同意）</w:t>
      </w:r>
      <w:r>
        <w:rPr>
          <w:rFonts w:hint="eastAsia" w:ascii="楷体" w:hAnsi="楷体" w:eastAsia="楷体"/>
          <w:b/>
          <w:sz w:val="24"/>
        </w:rPr>
        <w:t>。</w:t>
      </w:r>
    </w:p>
    <w:p>
      <w:pPr>
        <w:spacing w:before="200" w:after="200" w:line="360" w:lineRule="auto"/>
        <w:rPr>
          <w:rFonts w:ascii="楷体" w:hAnsi="楷体" w:eastAsia="楷体"/>
          <w:b/>
          <w:sz w:val="30"/>
          <w:szCs w:val="30"/>
        </w:rPr>
      </w:pPr>
      <w:r>
        <w:rPr>
          <w:rFonts w:hint="eastAsia" w:ascii="楷体" w:hAnsi="楷体" w:eastAsia="楷体"/>
          <w:b/>
          <w:sz w:val="30"/>
          <w:szCs w:val="30"/>
        </w:rPr>
        <w:t>26、</w:t>
      </w:r>
      <w:r>
        <w:rPr>
          <w:rFonts w:ascii="楷体" w:hAnsi="楷体" w:eastAsia="楷体"/>
          <w:b/>
          <w:sz w:val="30"/>
          <w:szCs w:val="30"/>
        </w:rPr>
        <w:t>竞争性磋商</w:t>
      </w:r>
      <w:r>
        <w:rPr>
          <w:rFonts w:hint="eastAsia" w:ascii="楷体" w:hAnsi="楷体" w:eastAsia="楷体"/>
          <w:b/>
          <w:sz w:val="30"/>
          <w:szCs w:val="30"/>
        </w:rPr>
        <w:t>特殊情况处理</w:t>
      </w:r>
    </w:p>
    <w:p>
      <w:pPr>
        <w:spacing w:line="440" w:lineRule="exact"/>
        <w:ind w:firstLine="480" w:firstLineChars="200"/>
        <w:rPr>
          <w:rFonts w:ascii="楷体" w:hAnsi="楷体" w:eastAsia="楷体"/>
          <w:sz w:val="24"/>
        </w:rPr>
      </w:pPr>
      <w:r>
        <w:rPr>
          <w:rFonts w:hint="eastAsia" w:ascii="楷体" w:hAnsi="楷体" w:eastAsia="楷体"/>
          <w:sz w:val="24"/>
        </w:rPr>
        <w:t>26.1在磋商过程中，磋商小组可以根据磋商文件和磋商情况实质性变动采购需求中的</w:t>
      </w:r>
    </w:p>
    <w:p>
      <w:pPr>
        <w:spacing w:line="440" w:lineRule="exact"/>
        <w:ind w:firstLine="480" w:firstLineChars="200"/>
        <w:rPr>
          <w:rFonts w:ascii="楷体" w:hAnsi="楷体" w:eastAsia="楷体"/>
          <w:sz w:val="24"/>
        </w:rPr>
      </w:pPr>
      <w:r>
        <w:rPr>
          <w:rFonts w:hint="eastAsia" w:ascii="楷体" w:hAnsi="楷体" w:eastAsia="楷体"/>
          <w:sz w:val="24"/>
        </w:rPr>
        <w:t>技术、服务要求以及合同草案条款，但不得变动磋商文件中的其他内容。实质性变动的内容，须经采购人代表书面确认后进行。根据磋商文件和磋商情况作出的实质性变动是磋商文件的有效组成部分，磋商小组将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书。</w:t>
      </w:r>
    </w:p>
    <w:p>
      <w:pPr>
        <w:spacing w:line="440" w:lineRule="exact"/>
        <w:ind w:firstLine="480" w:firstLineChars="200"/>
        <w:rPr>
          <w:rFonts w:ascii="楷体" w:hAnsi="楷体" w:eastAsia="楷体"/>
          <w:sz w:val="24"/>
        </w:rPr>
      </w:pPr>
      <w:r>
        <w:rPr>
          <w:rFonts w:hint="eastAsia" w:ascii="楷体" w:hAnsi="楷体" w:eastAsia="楷体"/>
          <w:sz w:val="24"/>
        </w:rPr>
        <w:t>26.2已提交响应文件的供应商，由于磋商小组实质性变动采购需求中的技术、服务要求以及合同草案条款，在提交最后报价之前，可以根据磋商情况退出磋商。</w:t>
      </w:r>
    </w:p>
    <w:p>
      <w:pPr>
        <w:spacing w:line="440" w:lineRule="exact"/>
        <w:ind w:firstLine="480" w:firstLineChars="200"/>
        <w:rPr>
          <w:rFonts w:ascii="楷体" w:hAnsi="楷体" w:eastAsia="楷体"/>
          <w:sz w:val="24"/>
        </w:rPr>
      </w:pPr>
      <w:r>
        <w:rPr>
          <w:rFonts w:hint="eastAsia" w:ascii="楷体" w:hAnsi="楷体" w:eastAsia="楷体"/>
          <w:sz w:val="24"/>
        </w:rPr>
        <w:t>26.3</w:t>
      </w:r>
      <w:r>
        <w:rPr>
          <w:rFonts w:ascii="楷体" w:hAnsi="楷体" w:eastAsia="楷体"/>
          <w:sz w:val="24"/>
        </w:rPr>
        <w:t>出现下列情形之一的，应当终止竞争性磋商采购活动，发布项目终止公告并说明原因，重新开展采购活动：</w:t>
      </w:r>
    </w:p>
    <w:p>
      <w:pPr>
        <w:spacing w:line="440" w:lineRule="exact"/>
        <w:ind w:firstLine="480" w:firstLineChars="200"/>
        <w:rPr>
          <w:rFonts w:ascii="楷体" w:hAnsi="楷体" w:eastAsia="楷体"/>
          <w:sz w:val="24"/>
        </w:rPr>
      </w:pPr>
      <w:r>
        <w:rPr>
          <w:rFonts w:hint="eastAsia" w:ascii="楷体" w:hAnsi="楷体" w:eastAsia="楷体"/>
          <w:sz w:val="24"/>
        </w:rPr>
        <w:t>（1）</w:t>
      </w:r>
      <w:r>
        <w:rPr>
          <w:rFonts w:ascii="楷体" w:hAnsi="楷体" w:eastAsia="楷体"/>
          <w:sz w:val="24"/>
        </w:rPr>
        <w:t>因情况变化，不再符合规定的竞争性磋商采购方式适用情形的；</w:t>
      </w:r>
    </w:p>
    <w:p>
      <w:pPr>
        <w:spacing w:line="44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出现影响采购公正的违法、违规行为的；</w:t>
      </w:r>
    </w:p>
    <w:p>
      <w:pPr>
        <w:pStyle w:val="22"/>
        <w:spacing w:line="440" w:lineRule="exact"/>
        <w:ind w:firstLine="480" w:firstLineChars="200"/>
        <w:rPr>
          <w:rFonts w:ascii="楷体" w:hAnsi="楷体" w:eastAsia="楷体"/>
          <w:sz w:val="24"/>
          <w:szCs w:val="24"/>
        </w:rPr>
      </w:pPr>
      <w:r>
        <w:rPr>
          <w:rFonts w:hint="eastAsia" w:ascii="楷体" w:hAnsi="楷体" w:eastAsia="楷体"/>
          <w:sz w:val="24"/>
          <w:szCs w:val="24"/>
        </w:rPr>
        <w:t>（3）</w:t>
      </w:r>
      <w:r>
        <w:rPr>
          <w:rFonts w:ascii="楷体" w:hAnsi="楷体" w:eastAsia="楷体"/>
          <w:sz w:val="24"/>
          <w:szCs w:val="24"/>
        </w:rPr>
        <w:t>在采购过程中符合</w:t>
      </w:r>
      <w:r>
        <w:rPr>
          <w:rFonts w:hint="eastAsia" w:ascii="楷体" w:hAnsi="楷体" w:eastAsia="楷体"/>
          <w:sz w:val="24"/>
          <w:szCs w:val="24"/>
        </w:rPr>
        <w:t>磋商</w:t>
      </w:r>
      <w:r>
        <w:rPr>
          <w:rFonts w:ascii="楷体" w:hAnsi="楷体" w:eastAsia="楷体"/>
          <w:sz w:val="24"/>
          <w:szCs w:val="24"/>
        </w:rPr>
        <w:t>要求的供应商或者报价未超过采购预算的供应商不足3家的</w:t>
      </w:r>
      <w:r>
        <w:rPr>
          <w:rFonts w:hint="eastAsia" w:ascii="楷体" w:hAnsi="楷体" w:eastAsia="楷体"/>
          <w:sz w:val="24"/>
          <w:szCs w:val="24"/>
        </w:rPr>
        <w:t>（符合市场竞争不充分的科研项目，以及需要扶持的科技成果转化项目，提交最后报价的供应商可以为2家）</w:t>
      </w:r>
      <w:r>
        <w:rPr>
          <w:rFonts w:ascii="楷体" w:hAnsi="楷体" w:eastAsia="楷体"/>
          <w:sz w:val="24"/>
          <w:szCs w:val="24"/>
        </w:rPr>
        <w:t>。</w:t>
      </w:r>
    </w:p>
    <w:p>
      <w:pPr>
        <w:spacing w:before="200" w:line="360" w:lineRule="auto"/>
        <w:rPr>
          <w:rFonts w:ascii="楷体" w:hAnsi="楷体" w:eastAsia="楷体"/>
          <w:b/>
          <w:sz w:val="30"/>
          <w:szCs w:val="30"/>
        </w:rPr>
      </w:pPr>
      <w:r>
        <w:rPr>
          <w:rFonts w:hint="eastAsia" w:ascii="楷体" w:hAnsi="楷体" w:eastAsia="楷体"/>
          <w:b/>
          <w:sz w:val="30"/>
          <w:szCs w:val="30"/>
        </w:rPr>
        <w:t>27、串通磋商的情形</w:t>
      </w:r>
    </w:p>
    <w:p>
      <w:pPr>
        <w:spacing w:line="360" w:lineRule="auto"/>
        <w:ind w:firstLine="480" w:firstLineChars="200"/>
        <w:rPr>
          <w:rFonts w:ascii="楷体" w:hAnsi="楷体" w:eastAsia="楷体"/>
          <w:sz w:val="24"/>
        </w:rPr>
      </w:pPr>
      <w:r>
        <w:rPr>
          <w:rFonts w:hint="eastAsia" w:ascii="楷体" w:hAnsi="楷体" w:eastAsia="楷体"/>
          <w:sz w:val="24"/>
        </w:rPr>
        <w:t>有下列情形之一的，视为供应商串通磋商，磋商无效：</w:t>
      </w:r>
    </w:p>
    <w:p>
      <w:pPr>
        <w:spacing w:line="360" w:lineRule="auto"/>
        <w:ind w:firstLine="482" w:firstLineChars="200"/>
        <w:rPr>
          <w:rFonts w:ascii="楷体" w:hAnsi="楷体" w:eastAsia="楷体"/>
          <w:b/>
          <w:sz w:val="24"/>
          <w:u w:val="single"/>
        </w:rPr>
      </w:pPr>
      <w:r>
        <w:rPr>
          <w:rFonts w:hint="eastAsia" w:ascii="楷体" w:hAnsi="楷体" w:eastAsia="楷体"/>
          <w:b/>
          <w:sz w:val="24"/>
        </w:rPr>
        <w:t>（1）</w:t>
      </w:r>
      <w:r>
        <w:rPr>
          <w:rFonts w:hint="eastAsia" w:ascii="楷体" w:hAnsi="楷体" w:eastAsia="楷体"/>
          <w:b/>
          <w:sz w:val="24"/>
          <w:u w:val="single"/>
        </w:rPr>
        <w:t>不同供应商的磋商响应文件由同一单位或者个人编制；</w:t>
      </w:r>
    </w:p>
    <w:p>
      <w:pPr>
        <w:spacing w:line="360" w:lineRule="auto"/>
        <w:ind w:firstLine="482" w:firstLineChars="200"/>
        <w:rPr>
          <w:rFonts w:ascii="楷体" w:hAnsi="楷体" w:eastAsia="楷体"/>
          <w:b/>
          <w:sz w:val="24"/>
          <w:u w:val="single"/>
        </w:rPr>
      </w:pPr>
      <w:r>
        <w:rPr>
          <w:rFonts w:hint="eastAsia" w:ascii="楷体" w:hAnsi="楷体" w:eastAsia="楷体"/>
          <w:b/>
          <w:sz w:val="24"/>
        </w:rPr>
        <w:t>（2）</w:t>
      </w:r>
      <w:r>
        <w:rPr>
          <w:rFonts w:hint="eastAsia" w:ascii="楷体" w:hAnsi="楷体" w:eastAsia="楷体"/>
          <w:b/>
          <w:sz w:val="24"/>
          <w:u w:val="single"/>
        </w:rPr>
        <w:t>不同供应商委托同一单位或者个人办理磋商事宜；</w:t>
      </w:r>
    </w:p>
    <w:p>
      <w:pPr>
        <w:spacing w:line="360" w:lineRule="auto"/>
        <w:ind w:firstLine="482" w:firstLineChars="200"/>
        <w:rPr>
          <w:rFonts w:ascii="楷体" w:hAnsi="楷体" w:eastAsia="楷体"/>
          <w:b/>
          <w:sz w:val="24"/>
          <w:u w:val="single"/>
        </w:rPr>
      </w:pPr>
      <w:r>
        <w:rPr>
          <w:rFonts w:hint="eastAsia" w:ascii="楷体" w:hAnsi="楷体" w:eastAsia="楷体"/>
          <w:b/>
          <w:sz w:val="24"/>
        </w:rPr>
        <w:t>（3）</w:t>
      </w:r>
      <w:r>
        <w:rPr>
          <w:rFonts w:hint="eastAsia" w:ascii="楷体" w:hAnsi="楷体" w:eastAsia="楷体"/>
          <w:b/>
          <w:sz w:val="24"/>
          <w:u w:val="single"/>
        </w:rPr>
        <w:t>不同供应商的磋商响应文件载明的项目管理成员或者联系人员为同一人；</w:t>
      </w:r>
    </w:p>
    <w:p>
      <w:pPr>
        <w:spacing w:line="360" w:lineRule="auto"/>
        <w:ind w:firstLine="482" w:firstLineChars="200"/>
        <w:rPr>
          <w:rFonts w:ascii="楷体" w:hAnsi="楷体" w:eastAsia="楷体"/>
          <w:b/>
          <w:sz w:val="24"/>
          <w:u w:val="single"/>
        </w:rPr>
      </w:pPr>
      <w:r>
        <w:rPr>
          <w:rFonts w:hint="eastAsia" w:ascii="楷体" w:hAnsi="楷体" w:eastAsia="楷体"/>
          <w:b/>
          <w:sz w:val="24"/>
        </w:rPr>
        <w:t>（4）</w:t>
      </w:r>
      <w:r>
        <w:rPr>
          <w:rFonts w:hint="eastAsia" w:ascii="楷体" w:hAnsi="楷体" w:eastAsia="楷体"/>
          <w:b/>
          <w:sz w:val="24"/>
          <w:u w:val="single"/>
        </w:rPr>
        <w:t>不同供应商的磋商响应文件异常一致或者磋商报价呈规律性差异；</w:t>
      </w:r>
    </w:p>
    <w:p>
      <w:pPr>
        <w:spacing w:line="360" w:lineRule="auto"/>
        <w:ind w:firstLine="482" w:firstLineChars="200"/>
        <w:rPr>
          <w:rFonts w:ascii="楷体" w:hAnsi="楷体" w:eastAsia="楷体"/>
          <w:b/>
          <w:sz w:val="24"/>
          <w:u w:val="single"/>
        </w:rPr>
      </w:pPr>
      <w:r>
        <w:rPr>
          <w:rFonts w:hint="eastAsia" w:ascii="楷体" w:hAnsi="楷体" w:eastAsia="楷体"/>
          <w:b/>
          <w:sz w:val="24"/>
        </w:rPr>
        <w:t>（5）</w:t>
      </w:r>
      <w:r>
        <w:rPr>
          <w:rFonts w:hint="eastAsia" w:ascii="楷体" w:hAnsi="楷体" w:eastAsia="楷体"/>
          <w:b/>
          <w:sz w:val="24"/>
          <w:u w:val="single"/>
        </w:rPr>
        <w:t>不同供应商的磋商响应文件相互混装；</w:t>
      </w:r>
    </w:p>
    <w:p>
      <w:pPr>
        <w:spacing w:before="200" w:line="440" w:lineRule="exact"/>
        <w:rPr>
          <w:rFonts w:ascii="楷体" w:hAnsi="楷体" w:eastAsia="楷体"/>
          <w:b/>
          <w:sz w:val="30"/>
          <w:szCs w:val="30"/>
        </w:rPr>
      </w:pPr>
      <w:r>
        <w:rPr>
          <w:rFonts w:hint="eastAsia" w:ascii="楷体" w:hAnsi="楷体" w:eastAsia="楷体"/>
          <w:b/>
          <w:sz w:val="30"/>
          <w:szCs w:val="30"/>
        </w:rPr>
        <w:t>28、磋商内容及磋商响应文件的澄清</w:t>
      </w:r>
    </w:p>
    <w:p>
      <w:pPr>
        <w:spacing w:line="440" w:lineRule="exact"/>
        <w:ind w:firstLine="480" w:firstLineChars="200"/>
        <w:rPr>
          <w:rFonts w:ascii="楷体" w:hAnsi="楷体" w:eastAsia="楷体"/>
          <w:sz w:val="24"/>
        </w:rPr>
      </w:pPr>
      <w:r>
        <w:rPr>
          <w:rFonts w:hint="eastAsia" w:ascii="楷体" w:hAnsi="楷体" w:eastAsia="楷体"/>
          <w:sz w:val="24"/>
        </w:rPr>
        <w:t>28.1 磋商的内容：</w:t>
      </w:r>
    </w:p>
    <w:p>
      <w:pPr>
        <w:spacing w:line="440" w:lineRule="exact"/>
        <w:ind w:firstLine="480" w:firstLineChars="200"/>
        <w:rPr>
          <w:rFonts w:ascii="楷体" w:hAnsi="楷体" w:eastAsia="楷体"/>
          <w:sz w:val="24"/>
        </w:rPr>
      </w:pPr>
      <w:r>
        <w:rPr>
          <w:rFonts w:hint="eastAsia" w:ascii="楷体" w:hAnsi="楷体" w:eastAsia="楷体"/>
          <w:sz w:val="24"/>
        </w:rPr>
        <w:t>（1）供应商所提供的包含改造工程范围以及服务条款的服务。</w:t>
      </w:r>
    </w:p>
    <w:p>
      <w:pPr>
        <w:spacing w:line="440" w:lineRule="exact"/>
        <w:ind w:firstLine="480" w:firstLineChars="200"/>
        <w:rPr>
          <w:rFonts w:ascii="楷体" w:hAnsi="楷体" w:eastAsia="楷体"/>
          <w:sz w:val="24"/>
        </w:rPr>
      </w:pPr>
      <w:r>
        <w:rPr>
          <w:rFonts w:hint="eastAsia" w:ascii="楷体" w:hAnsi="楷体" w:eastAsia="楷体"/>
          <w:sz w:val="24"/>
        </w:rPr>
        <w:t>（2）供应商所提供改造工程的价格与付款方式。</w:t>
      </w:r>
    </w:p>
    <w:p>
      <w:pPr>
        <w:spacing w:line="440" w:lineRule="exact"/>
        <w:ind w:firstLine="480" w:firstLineChars="200"/>
        <w:rPr>
          <w:rFonts w:ascii="楷体" w:hAnsi="楷体" w:eastAsia="楷体"/>
          <w:sz w:val="24"/>
        </w:rPr>
      </w:pPr>
      <w:r>
        <w:rPr>
          <w:rFonts w:hint="eastAsia" w:ascii="楷体" w:hAnsi="楷体" w:eastAsia="楷体"/>
          <w:sz w:val="24"/>
        </w:rPr>
        <w:t>（3）合同条款或其他与本项目有关的事项。</w:t>
      </w:r>
    </w:p>
    <w:p>
      <w:pPr>
        <w:spacing w:line="440" w:lineRule="exact"/>
        <w:ind w:firstLine="480" w:firstLineChars="200"/>
        <w:rPr>
          <w:rFonts w:ascii="楷体" w:hAnsi="楷体" w:eastAsia="楷体"/>
          <w:sz w:val="24"/>
        </w:rPr>
      </w:pPr>
      <w:r>
        <w:rPr>
          <w:rFonts w:hint="eastAsia" w:ascii="楷体" w:hAnsi="楷体" w:eastAsia="楷体"/>
          <w:sz w:val="24"/>
        </w:rPr>
        <w:t>28.2对于磋商响应文件中含义不明确、同类问题表述不一致或者有明显文字和计算错误的内容，磋商小组应当以书面形式要求供应商作出必要的澄清、说明或者补正。</w:t>
      </w:r>
    </w:p>
    <w:p>
      <w:pPr>
        <w:spacing w:line="440" w:lineRule="exact"/>
        <w:ind w:firstLine="480" w:firstLineChars="200"/>
        <w:rPr>
          <w:rFonts w:ascii="楷体" w:hAnsi="楷体" w:eastAsia="楷体"/>
          <w:b/>
          <w:sz w:val="24"/>
          <w:u w:val="single"/>
        </w:rPr>
      </w:pPr>
      <w:r>
        <w:rPr>
          <w:rFonts w:hint="eastAsia" w:ascii="楷体" w:hAnsi="楷体" w:eastAsia="楷体"/>
          <w:sz w:val="24"/>
        </w:rPr>
        <w:t>28.3供应商的澄清、说明或者补正应当采用书面形式，并加盖公章，或者由法定代表人或其授权委托代理人签字。供应商的澄清、说明或者补正不得超出磋商响应文件的范围或者改变磋商响应文件的实质性内容。</w:t>
      </w:r>
    </w:p>
    <w:p>
      <w:pPr>
        <w:pStyle w:val="4"/>
        <w:keepNext w:val="0"/>
        <w:keepLines w:val="0"/>
        <w:spacing w:after="0" w:line="440" w:lineRule="exact"/>
        <w:rPr>
          <w:rFonts w:ascii="楷体" w:hAnsi="楷体" w:eastAsia="楷体"/>
          <w:sz w:val="30"/>
        </w:rPr>
      </w:pPr>
      <w:bookmarkStart w:id="35" w:name="_Toc163898415"/>
      <w:r>
        <w:rPr>
          <w:rFonts w:hint="eastAsia" w:ascii="楷体" w:hAnsi="楷体" w:eastAsia="楷体"/>
          <w:sz w:val="30"/>
        </w:rPr>
        <w:t>29、磋商响应文件的评价和比较</w:t>
      </w:r>
    </w:p>
    <w:bookmarkEnd w:id="35"/>
    <w:p>
      <w:pPr>
        <w:spacing w:line="440" w:lineRule="exact"/>
        <w:ind w:firstLine="480" w:firstLineChars="200"/>
        <w:rPr>
          <w:rFonts w:ascii="楷体" w:hAnsi="楷体" w:eastAsia="楷体"/>
          <w:sz w:val="24"/>
        </w:rPr>
      </w:pPr>
      <w:r>
        <w:rPr>
          <w:rFonts w:hint="eastAsia" w:ascii="楷体" w:hAnsi="楷体" w:eastAsia="楷体"/>
          <w:sz w:val="24"/>
        </w:rPr>
        <w:t>29.1</w:t>
      </w:r>
      <w:r>
        <w:rPr>
          <w:rFonts w:ascii="楷体" w:hAnsi="楷体" w:eastAsia="楷体"/>
          <w:sz w:val="24"/>
        </w:rPr>
        <w:t>经磋商确定最终采购需求和提交最后报价的供应商后，由磋商小组采用</w:t>
      </w:r>
      <w:r>
        <w:rPr>
          <w:rFonts w:hint="eastAsia" w:ascii="楷体" w:hAnsi="楷体" w:eastAsia="楷体"/>
          <w:sz w:val="24"/>
        </w:rPr>
        <w:t>综合评分法（百分制）</w:t>
      </w:r>
      <w:r>
        <w:rPr>
          <w:rFonts w:ascii="楷体" w:hAnsi="楷体" w:eastAsia="楷体"/>
          <w:sz w:val="24"/>
        </w:rPr>
        <w:t>对提交最后报价的供应商的响应文件和最后报价进行综合评分。</w:t>
      </w:r>
    </w:p>
    <w:p>
      <w:pPr>
        <w:spacing w:line="440" w:lineRule="exact"/>
        <w:ind w:firstLine="480" w:firstLineChars="200"/>
        <w:rPr>
          <w:rFonts w:ascii="楷体" w:hAnsi="楷体" w:eastAsia="楷体"/>
          <w:sz w:val="24"/>
        </w:rPr>
      </w:pPr>
      <w:r>
        <w:rPr>
          <w:rFonts w:hint="eastAsia" w:ascii="楷体" w:hAnsi="楷体" w:eastAsia="楷体"/>
          <w:sz w:val="24"/>
        </w:rPr>
        <w:t>29.2磋商小组按照上述的规定，仅对确定为实质上响应磋商文件要求的响应文件进行综合评价和比较，综合评价和比较将主要考虑下列因素：</w:t>
      </w:r>
    </w:p>
    <w:tbl>
      <w:tblPr>
        <w:tblStyle w:val="5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3"/>
        <w:gridCol w:w="651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b/>
                <w:bCs/>
                <w:color w:val="000000" w:themeColor="text1"/>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b/>
                <w:bCs/>
                <w:color w:val="000000" w:themeColor="text1"/>
                <w:szCs w:val="21"/>
              </w:rPr>
            </w:pPr>
            <w:r>
              <w:rPr>
                <w:rFonts w:hint="eastAsia" w:ascii="宋体" w:hAnsi="宋体" w:cs="宋体"/>
                <w:b/>
                <w:bCs/>
                <w:color w:val="000000" w:themeColor="text1"/>
                <w:szCs w:val="21"/>
                <w:lang w:val="zh-CN"/>
              </w:rPr>
              <w:t>评标项目</w:t>
            </w:r>
          </w:p>
        </w:tc>
        <w:tc>
          <w:tcPr>
            <w:tcW w:w="65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cs="宋体"/>
                <w:b/>
                <w:bCs/>
                <w:color w:val="000000" w:themeColor="text1"/>
                <w:szCs w:val="21"/>
                <w:lang w:val="zh-CN"/>
              </w:rPr>
              <w:t>评分要求</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b/>
                <w:bCs/>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一</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b/>
                <w:bCs/>
                <w:color w:val="000000" w:themeColor="text1"/>
                <w:szCs w:val="21"/>
                <w:lang w:val="zh-CN"/>
              </w:rPr>
            </w:pPr>
          </w:p>
        </w:tc>
        <w:tc>
          <w:tcPr>
            <w:tcW w:w="65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b/>
                <w:color w:val="000000" w:themeColor="text1"/>
                <w:szCs w:val="21"/>
              </w:rPr>
            </w:pPr>
            <w:r>
              <w:rPr>
                <w:rFonts w:hint="eastAsia" w:ascii="楷体" w:hAnsi="楷体" w:eastAsia="楷体"/>
                <w:b/>
                <w:color w:val="000000" w:themeColor="text1"/>
                <w:szCs w:val="21"/>
              </w:rPr>
              <w:t>竞标文件制作</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b/>
                <w:bCs/>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color w:val="000000" w:themeColor="text1"/>
                <w:szCs w:val="21"/>
              </w:rPr>
            </w:pPr>
            <w:r>
              <w:rPr>
                <w:rFonts w:hint="eastAsia" w:ascii="楷体" w:hAnsi="楷体" w:eastAsia="楷体"/>
                <w:color w:val="000000" w:themeColor="text1"/>
                <w:szCs w:val="21"/>
              </w:rPr>
              <w:t>竞标文件</w:t>
            </w:r>
          </w:p>
          <w:p>
            <w:pPr>
              <w:autoSpaceDE w:val="0"/>
              <w:autoSpaceDN w:val="0"/>
              <w:spacing w:line="360" w:lineRule="auto"/>
              <w:jc w:val="center"/>
              <w:rPr>
                <w:rFonts w:ascii="宋体" w:hAnsi="宋体" w:cs="宋体"/>
                <w:b/>
                <w:bCs/>
                <w:color w:val="000000" w:themeColor="text1"/>
                <w:szCs w:val="21"/>
                <w:lang w:val="zh-CN"/>
              </w:rPr>
            </w:pPr>
            <w:r>
              <w:rPr>
                <w:rFonts w:hint="eastAsia" w:ascii="楷体" w:hAnsi="楷体" w:eastAsia="楷体"/>
                <w:color w:val="000000" w:themeColor="text1"/>
                <w:szCs w:val="21"/>
              </w:rPr>
              <w:t>制作</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竞标文件编制完整、格式规范、装订整齐，符合招标文件要求的得2分；竞标文件编制不规范、存在错漏、页码错误的，不得分。</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b/>
                <w:bCs/>
                <w:color w:val="000000" w:themeColor="text1"/>
                <w:szCs w:val="21"/>
              </w:rPr>
              <w:t>二</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themeColor="text1"/>
                <w:szCs w:val="21"/>
                <w:lang w:val="zh-CN"/>
              </w:rPr>
            </w:pPr>
          </w:p>
        </w:tc>
        <w:tc>
          <w:tcPr>
            <w:tcW w:w="65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themeColor="text1"/>
                <w:szCs w:val="21"/>
                <w:lang w:val="zh-CN"/>
              </w:rPr>
            </w:pPr>
            <w:r>
              <w:rPr>
                <w:rFonts w:hint="eastAsia" w:ascii="楷体" w:hAnsi="楷体" w:eastAsia="楷体"/>
                <w:b/>
                <w:color w:val="000000" w:themeColor="text1"/>
                <w:szCs w:val="21"/>
              </w:rPr>
              <w:t>供应商综合评价</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ascii="宋体" w:hAnsi="宋体"/>
                <w:b/>
                <w:bCs/>
                <w:color w:val="000000" w:themeColor="text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color w:val="000000" w:themeColor="text1"/>
                <w:szCs w:val="21"/>
              </w:rPr>
            </w:pPr>
            <w:r>
              <w:rPr>
                <w:rFonts w:hint="eastAsia" w:ascii="楷体" w:hAnsi="楷体" w:eastAsia="楷体"/>
                <w:color w:val="000000" w:themeColor="text1"/>
                <w:szCs w:val="21"/>
              </w:rPr>
              <w:t>同类案例</w:t>
            </w:r>
          </w:p>
          <w:p>
            <w:pPr>
              <w:autoSpaceDE w:val="0"/>
              <w:autoSpaceDN w:val="0"/>
              <w:spacing w:line="360" w:lineRule="auto"/>
              <w:jc w:val="center"/>
              <w:rPr>
                <w:rFonts w:ascii="宋体" w:hAnsi="宋体" w:cs="宋体"/>
                <w:b/>
                <w:bCs/>
                <w:color w:val="000000" w:themeColor="text1"/>
                <w:szCs w:val="21"/>
                <w:lang w:val="zh-CN"/>
              </w:rPr>
            </w:pPr>
            <w:r>
              <w:rPr>
                <w:rFonts w:hint="eastAsia" w:ascii="楷体" w:hAnsi="楷体" w:eastAsia="楷体"/>
                <w:color w:val="000000" w:themeColor="text1"/>
                <w:szCs w:val="21"/>
              </w:rPr>
              <w:t>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color w:val="000000" w:themeColor="text1"/>
                <w:szCs w:val="21"/>
              </w:rPr>
            </w:pPr>
            <w:r>
              <w:rPr>
                <w:rFonts w:hint="eastAsia" w:ascii="楷体" w:hAnsi="楷体" w:eastAsia="楷体"/>
                <w:color w:val="000000" w:themeColor="text1"/>
                <w:szCs w:val="21"/>
              </w:rPr>
              <w:t>2017年1月份以来（时间以合同签订时间为准）承担过类似污水处理项目成功案例的，项目业绩应为投标人承担单笔合同金额50万元及以上污水处理设备供货且合格验收项目（以合同签订时间为准），每提供一份合同得2分，最多得8分。（投标文件中须提供业绩合同等证明材料）。</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ascii="宋体" w:hAnsi="宋体"/>
                <w:bCs/>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color w:val="000000" w:themeColor="text1"/>
                <w:szCs w:val="21"/>
              </w:rPr>
            </w:pPr>
            <w:r>
              <w:rPr>
                <w:rFonts w:hint="eastAsia" w:ascii="楷体" w:hAnsi="楷体" w:eastAsia="楷体"/>
                <w:color w:val="000000" w:themeColor="text1"/>
                <w:szCs w:val="21"/>
              </w:rPr>
              <w:t>信用</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供应商获得行政主管部门颁发的“守合同、重信用”证书或行业协会颁发的AAA信用等级证书，得2分。(提供证书复印件加盖投标人公章)</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3</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体系认证</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供应商具有环境管理体系认证证书得1分，具有质量管理体系认证证书得1分，具有职业健康安全体系认证证书得1分。(提供证书复印件加盖投标人公章)</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4</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技术负责人</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具有环保高级及以上职称得2分，没有不得分，人员需提供劳动合同或近六个月的社保证明或个税证明。(提供相关证明材料加盖投标人公章)</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color w:val="000000" w:themeColor="text1"/>
                <w:szCs w:val="21"/>
              </w:rPr>
            </w:pPr>
            <w:r>
              <w:rPr>
                <w:rFonts w:hint="eastAsia" w:ascii="宋体" w:hAnsi="宋体"/>
                <w:bCs/>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三</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color w:val="000000" w:themeColor="text1"/>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楷体" w:hAnsi="楷体" w:eastAsia="楷体"/>
                <w:b/>
                <w:color w:val="000000" w:themeColor="text1"/>
                <w:szCs w:val="21"/>
              </w:rPr>
              <w:t>技术方案评价</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color w:val="000000" w:themeColor="text1"/>
                <w:szCs w:val="21"/>
              </w:rPr>
            </w:pPr>
            <w:r>
              <w:rPr>
                <w:rFonts w:ascii="宋体" w:hAnsi="宋体"/>
                <w:b/>
                <w:bCs/>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r>
              <w:rPr>
                <w:rFonts w:hint="eastAsia" w:ascii="楷体" w:hAnsi="楷体" w:eastAsia="楷体"/>
                <w:color w:val="000000" w:themeColor="text1"/>
                <w:szCs w:val="21"/>
              </w:rPr>
              <w:t>规格参数、性能指标</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设备的规格参数、材质等质量技术要求对响应产品逐项进行评定，供应商提供的产品性能指标及设备参数完全响应磋商文件要求，优秀的，得5分；良好的，得3分；一般的，得1分。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color w:val="000000" w:themeColor="text1"/>
                <w:szCs w:val="21"/>
              </w:rPr>
            </w:pPr>
            <w:r>
              <w:rPr>
                <w:rFonts w:hint="eastAsia" w:ascii="楷体" w:hAnsi="楷体" w:eastAsia="楷体"/>
                <w:bCs/>
                <w:color w:val="000000" w:themeColor="text1"/>
                <w:szCs w:val="21"/>
              </w:rPr>
              <w:t>关键性技术评价</w:t>
            </w: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jc w:val="left"/>
              <w:rPr>
                <w:rFonts w:ascii="楷体" w:hAnsi="楷体" w:eastAsia="楷体" w:cs="微软雅黑"/>
                <w:color w:val="000000" w:themeColor="text1"/>
                <w:kern w:val="0"/>
                <w:szCs w:val="21"/>
                <w:lang w:val="zh-CN"/>
              </w:rPr>
            </w:pPr>
            <w:r>
              <w:rPr>
                <w:rFonts w:hint="eastAsia" w:ascii="楷体" w:hAnsi="楷体" w:eastAsia="楷体"/>
                <w:color w:val="000000" w:themeColor="text1"/>
                <w:szCs w:val="21"/>
              </w:rPr>
              <w:t>对项目的特点及关键性技术问题把握是否准确，所提出的措施是否有效可行，进行横向比较。优秀的，得15分；良好的，得12分；一般的，得8分。未提供，不得分。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四</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color w:val="000000" w:themeColor="text1"/>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ind w:firstLine="422" w:firstLineChars="200"/>
              <w:jc w:val="center"/>
              <w:rPr>
                <w:rFonts w:ascii="楷体" w:hAnsi="楷体" w:eastAsia="楷体"/>
                <w:color w:val="000000" w:themeColor="text1"/>
                <w:szCs w:val="21"/>
              </w:rPr>
            </w:pPr>
            <w:r>
              <w:rPr>
                <w:rFonts w:hint="eastAsia" w:ascii="楷体" w:hAnsi="楷体" w:eastAsia="楷体"/>
                <w:b/>
                <w:color w:val="000000" w:themeColor="text1"/>
                <w:szCs w:val="21"/>
                <w:lang w:val="en-GB"/>
              </w:rPr>
              <w:t>组织实施</w:t>
            </w:r>
            <w:r>
              <w:rPr>
                <w:rFonts w:hint="eastAsia" w:ascii="楷体" w:hAnsi="楷体" w:eastAsia="楷体"/>
                <w:b/>
                <w:color w:val="000000" w:themeColor="text1"/>
                <w:szCs w:val="21"/>
              </w:rPr>
              <w:t>方案评价</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rPr>
            </w:pPr>
            <w:r>
              <w:rPr>
                <w:rFonts w:hint="eastAsia" w:ascii="宋体" w:hAnsi="宋体"/>
                <w:b/>
                <w:color w:val="000000" w:themeColor="text1"/>
                <w:szCs w:val="21"/>
              </w:rPr>
              <w:t>1</w:t>
            </w:r>
            <w:r>
              <w:rPr>
                <w:rFonts w:ascii="宋体" w:hAnsi="宋体"/>
                <w:b/>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bCs/>
                <w:color w:val="000000" w:themeColor="text1"/>
                <w:szCs w:val="21"/>
              </w:rPr>
              <w:t>计划和进度评价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bCs/>
                <w:color w:val="000000" w:themeColor="text1"/>
                <w:szCs w:val="21"/>
              </w:rPr>
              <w:t>项目计划和进度安排科学、合理性，工期保障措施健全。优秀的，得5分；良好的，得3分；一般的，得1分。未提供，不得分。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r>
              <w:rPr>
                <w:rFonts w:hint="eastAsia" w:ascii="楷体" w:hAnsi="楷体" w:eastAsia="楷体"/>
                <w:color w:val="000000" w:themeColor="text1"/>
                <w:szCs w:val="21"/>
              </w:rPr>
              <w:t>安全生产评价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color w:val="000000" w:themeColor="text1"/>
                <w:szCs w:val="21"/>
              </w:rPr>
              <w:t>安全生产措施合理、可行。优秀的，得5分；良好的，得3分；一般的，得1分。未提供，不得分。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五</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ind w:firstLine="422" w:firstLineChars="200"/>
              <w:jc w:val="center"/>
              <w:rPr>
                <w:rFonts w:ascii="楷体" w:hAnsi="楷体" w:eastAsia="楷体"/>
                <w:b/>
                <w:color w:val="000000" w:themeColor="text1"/>
                <w:szCs w:val="21"/>
                <w:lang w:val="en-GB"/>
              </w:rPr>
            </w:pPr>
            <w:r>
              <w:rPr>
                <w:rFonts w:hint="eastAsia" w:ascii="楷体" w:hAnsi="楷体" w:eastAsia="楷体"/>
                <w:b/>
                <w:color w:val="000000" w:themeColor="text1"/>
                <w:szCs w:val="21"/>
                <w:lang w:val="en-GB"/>
              </w:rPr>
              <w:t>售后服务</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rPr>
            </w:pPr>
            <w:r>
              <w:rPr>
                <w:rFonts w:ascii="宋体" w:hAnsi="宋体"/>
                <w:b/>
                <w:color w:val="000000" w:themeColor="text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r>
              <w:rPr>
                <w:rFonts w:hint="eastAsia" w:ascii="楷体" w:hAnsi="楷体" w:eastAsia="楷体"/>
                <w:bCs/>
                <w:color w:val="000000" w:themeColor="text1"/>
                <w:szCs w:val="21"/>
              </w:rPr>
              <w:t>服务方案、培训计划</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bCs/>
                <w:color w:val="000000" w:themeColor="text1"/>
                <w:szCs w:val="21"/>
              </w:rPr>
              <w:t>质量保证期内售后服务方案详细、响应及时、措施有针对性得</w:t>
            </w:r>
            <w:r>
              <w:rPr>
                <w:rFonts w:ascii="楷体" w:hAnsi="楷体" w:eastAsia="楷体"/>
                <w:bCs/>
                <w:color w:val="000000" w:themeColor="text1"/>
                <w:szCs w:val="21"/>
              </w:rPr>
              <w:t>5</w:t>
            </w:r>
            <w:r>
              <w:rPr>
                <w:rFonts w:hint="eastAsia" w:ascii="楷体" w:hAnsi="楷体" w:eastAsia="楷体"/>
                <w:bCs/>
                <w:color w:val="000000" w:themeColor="text1"/>
                <w:szCs w:val="21"/>
              </w:rPr>
              <w:t>分；培训计划、维护服务方案针对性强、措施得力得</w:t>
            </w:r>
            <w:r>
              <w:rPr>
                <w:rFonts w:ascii="楷体" w:hAnsi="楷体" w:eastAsia="楷体"/>
                <w:bCs/>
                <w:color w:val="000000" w:themeColor="text1"/>
                <w:szCs w:val="21"/>
              </w:rPr>
              <w:t>3</w:t>
            </w:r>
            <w:r>
              <w:rPr>
                <w:rFonts w:hint="eastAsia" w:ascii="楷体" w:hAnsi="楷体" w:eastAsia="楷体"/>
                <w:bCs/>
                <w:color w:val="000000" w:themeColor="text1"/>
                <w:szCs w:val="21"/>
              </w:rPr>
              <w:t>分。有缺陷，酌情扣分，最少得0分。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r>
              <w:rPr>
                <w:rFonts w:hint="eastAsia" w:ascii="楷体" w:hAnsi="楷体" w:eastAsia="楷体"/>
                <w:bCs/>
                <w:color w:val="000000" w:themeColor="text1"/>
                <w:szCs w:val="21"/>
              </w:rPr>
              <w:t>调试运行和售后服务技术人员</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bCs/>
                <w:color w:val="000000" w:themeColor="text1"/>
                <w:szCs w:val="21"/>
              </w:rPr>
              <w:t>配置的调试运行技术服务人员拥有污水处理工证书每个的1分，本项最高得4分，没有不得分。提供证书复印件，人员需提供近六个月的社保证明或劳动合同复印件加盖公章。</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color w:val="000000" w:themeColor="text1"/>
                <w:szCs w:val="21"/>
              </w:rPr>
            </w:pPr>
            <w:r>
              <w:rPr>
                <w:rFonts w:hint="eastAsia" w:ascii="楷体" w:hAnsi="楷体" w:eastAsia="楷体"/>
                <w:bCs/>
                <w:color w:val="000000" w:themeColor="text1"/>
                <w:szCs w:val="21"/>
              </w:rPr>
              <w:t>本地化服务</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bCs/>
                <w:color w:val="000000" w:themeColor="text1"/>
                <w:szCs w:val="21"/>
              </w:rPr>
              <w:t>投标人在句容具有固定办公场所的</w:t>
            </w:r>
            <w:r>
              <w:rPr>
                <w:rFonts w:ascii="楷体" w:hAnsi="楷体" w:eastAsia="楷体"/>
                <w:bCs/>
                <w:color w:val="000000" w:themeColor="text1"/>
                <w:szCs w:val="21"/>
              </w:rPr>
              <w:t>3</w:t>
            </w:r>
            <w:r>
              <w:rPr>
                <w:rFonts w:hint="eastAsia" w:ascii="楷体" w:hAnsi="楷体" w:eastAsia="楷体"/>
                <w:bCs/>
                <w:color w:val="000000" w:themeColor="text1"/>
                <w:szCs w:val="21"/>
              </w:rPr>
              <w:t>分。提供营业执照、房产证明或租赁合同复印件加盖公章。</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color w:val="000000" w:themeColor="text1"/>
                <w:szCs w:val="21"/>
              </w:rPr>
            </w:pPr>
            <w:r>
              <w:rPr>
                <w:rFonts w:hint="eastAsia" w:ascii="楷体" w:hAnsi="楷体" w:eastAsia="楷体"/>
                <w:bCs/>
                <w:color w:val="000000" w:themeColor="text1"/>
                <w:szCs w:val="21"/>
              </w:rPr>
              <w:t>快速服务保障措施</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ascii="楷体" w:hAnsi="楷体" w:eastAsia="楷体"/>
                <w:bCs/>
                <w:color w:val="000000" w:themeColor="text1"/>
                <w:szCs w:val="21"/>
              </w:rPr>
              <w:t>1</w:t>
            </w:r>
            <w:r>
              <w:rPr>
                <w:rFonts w:hint="eastAsia" w:ascii="楷体" w:hAnsi="楷体" w:eastAsia="楷体"/>
                <w:bCs/>
                <w:color w:val="000000" w:themeColor="text1"/>
                <w:szCs w:val="21"/>
              </w:rPr>
              <w:t>、根据投标单位售后服务机构设置健全以此保证快速服务的得3分，售后服务机构设置较健全尚能保证快速服务的得2分，售后服务机构设置不健全不能保证快速服务的得1分。</w:t>
            </w:r>
          </w:p>
          <w:p>
            <w:pPr>
              <w:rPr>
                <w:rFonts w:ascii="楷体" w:hAnsi="楷体" w:eastAsia="楷体"/>
                <w:bCs/>
                <w:color w:val="000000" w:themeColor="text1"/>
                <w:szCs w:val="21"/>
              </w:rPr>
            </w:pPr>
            <w:r>
              <w:rPr>
                <w:rFonts w:hint="eastAsia" w:ascii="楷体" w:hAnsi="楷体" w:eastAsia="楷体"/>
                <w:bCs/>
                <w:color w:val="000000" w:themeColor="text1"/>
                <w:szCs w:val="21"/>
              </w:rPr>
              <w:t>2、快速响应服务措施完整快速响应能力强的得3分，快速响应服务措施较完整快速响应能力较强的得2分，快速响应服务措施不完整快速响应能力不强的得1分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六</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ind w:firstLine="422" w:firstLineChars="200"/>
              <w:jc w:val="center"/>
              <w:rPr>
                <w:rFonts w:ascii="楷体" w:hAnsi="楷体" w:eastAsia="楷体"/>
                <w:b/>
                <w:color w:val="000000" w:themeColor="text1"/>
                <w:szCs w:val="21"/>
                <w:lang w:val="en-GB"/>
              </w:rPr>
            </w:pPr>
            <w:r>
              <w:rPr>
                <w:rFonts w:hint="eastAsia" w:ascii="楷体" w:hAnsi="楷体" w:eastAsia="楷体"/>
                <w:b/>
                <w:color w:val="000000" w:themeColor="text1"/>
                <w:szCs w:val="21"/>
                <w:lang w:val="en-GB"/>
              </w:rPr>
              <w:t>价格评价</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rPr>
            </w:pPr>
            <w:r>
              <w:rPr>
                <w:rFonts w:hint="eastAsia" w:ascii="宋体" w:hAnsi="宋体"/>
                <w:b/>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themeColor="text1"/>
                <w:szCs w:val="21"/>
              </w:rPr>
            </w:pPr>
            <w:r>
              <w:rPr>
                <w:rFonts w:hint="eastAsia" w:ascii="楷体" w:hAnsi="楷体" w:eastAsia="楷体"/>
                <w:color w:val="000000" w:themeColor="text1"/>
                <w:szCs w:val="21"/>
              </w:rPr>
              <w:t>价格评价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1、本次项目最高限价：65万元，超过限价作无效标处理。</w:t>
            </w:r>
          </w:p>
          <w:p>
            <w:pPr>
              <w:rPr>
                <w:rFonts w:ascii="楷体" w:hAnsi="楷体" w:eastAsia="楷体"/>
                <w:color w:val="000000" w:themeColor="text1"/>
                <w:szCs w:val="21"/>
              </w:rPr>
            </w:pPr>
            <w:r>
              <w:rPr>
                <w:rFonts w:hint="eastAsia" w:ascii="楷体" w:hAnsi="楷体" w:eastAsia="楷体"/>
                <w:color w:val="000000" w:themeColor="text1"/>
                <w:szCs w:val="21"/>
              </w:rPr>
              <w:t>2、价格分采用低价优先法计算，即满足磋商文件要求且竞标价格最低的竞标报价为评标基准价，其价格分为满分</w:t>
            </w:r>
            <w:r>
              <w:rPr>
                <w:rFonts w:ascii="楷体" w:hAnsi="楷体" w:eastAsia="楷体"/>
                <w:color w:val="000000" w:themeColor="text1"/>
                <w:szCs w:val="21"/>
              </w:rPr>
              <w:t>30</w:t>
            </w:r>
            <w:r>
              <w:rPr>
                <w:rFonts w:hint="eastAsia" w:ascii="楷体" w:hAnsi="楷体" w:eastAsia="楷体"/>
                <w:color w:val="000000" w:themeColor="text1"/>
                <w:szCs w:val="21"/>
              </w:rPr>
              <w:t>分。其他供应商的报价分统一按照下列公式计算：报价分 =（评标基准价/竞标报价）×</w:t>
            </w:r>
            <w:r>
              <w:rPr>
                <w:rFonts w:ascii="楷体" w:hAnsi="楷体" w:eastAsia="楷体"/>
                <w:color w:val="000000" w:themeColor="text1"/>
                <w:szCs w:val="21"/>
              </w:rPr>
              <w:t>30</w:t>
            </w:r>
            <w:r>
              <w:rPr>
                <w:rFonts w:hint="eastAsia" w:ascii="楷体" w:hAnsi="楷体" w:eastAsia="楷体"/>
                <w:color w:val="000000" w:themeColor="text1"/>
                <w:szCs w:val="21"/>
              </w:rPr>
              <w:t>。</w:t>
            </w:r>
          </w:p>
          <w:p>
            <w:pPr>
              <w:rPr>
                <w:rFonts w:ascii="楷体" w:hAnsi="楷体" w:eastAsia="楷体"/>
                <w:color w:val="000000" w:themeColor="text1"/>
                <w:szCs w:val="21"/>
              </w:rPr>
            </w:pPr>
            <w:r>
              <w:rPr>
                <w:rFonts w:hint="eastAsia" w:ascii="楷体" w:hAnsi="楷体" w:eastAsia="楷体"/>
                <w:color w:val="000000" w:themeColor="text1"/>
                <w:szCs w:val="21"/>
              </w:rPr>
              <w:t>注：上述“最低的竞标报价”必须是合理的。如果最低报价属于恶意竞争或明显低于成本价，评审专家将认定为无效竞标。</w:t>
            </w:r>
          </w:p>
          <w:p>
            <w:pPr>
              <w:rPr>
                <w:rFonts w:ascii="楷体" w:hAnsi="楷体" w:eastAsia="楷体"/>
                <w:color w:val="000000" w:themeColor="text1"/>
                <w:szCs w:val="21"/>
              </w:rPr>
            </w:pPr>
            <w:r>
              <w:rPr>
                <w:rFonts w:hint="eastAsia" w:ascii="楷体" w:hAnsi="楷体" w:eastAsia="楷体"/>
                <w:color w:val="000000" w:themeColor="text1"/>
                <w:szCs w:val="21"/>
              </w:rPr>
              <w:t>另：另根据《政府采购促进中小企业发展暂行办法》、江苏省财政厅《关于新冠肺炎疫情防控期间加大政府采购支持中小微企业力度的通知》（苏财购【2020】19号）中的规定，对小型、微型企业产品的价格给予10%的扣除，用扣除后价格参与评审。</w:t>
            </w:r>
          </w:p>
          <w:p>
            <w:pPr>
              <w:rPr>
                <w:rFonts w:ascii="楷体" w:hAnsi="楷体" w:eastAsia="楷体"/>
                <w:color w:val="000000" w:themeColor="text1"/>
                <w:szCs w:val="21"/>
              </w:rPr>
            </w:pPr>
            <w:r>
              <w:rPr>
                <w:rFonts w:hint="eastAsia" w:ascii="楷体" w:hAnsi="楷体" w:eastAsia="楷体"/>
                <w:color w:val="000000" w:themeColor="text1"/>
                <w:szCs w:val="21"/>
              </w:rPr>
              <w:t>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rPr>
                <w:rFonts w:ascii="楷体" w:hAnsi="楷体" w:eastAsia="楷体"/>
                <w:color w:val="000000" w:themeColor="text1"/>
                <w:szCs w:val="21"/>
              </w:rPr>
            </w:pPr>
            <w:r>
              <w:rPr>
                <w:rFonts w:hint="eastAsia" w:ascii="楷体" w:hAnsi="楷体" w:eastAsia="楷体"/>
                <w:color w:val="000000" w:themeColor="text1"/>
                <w:szCs w:val="21"/>
              </w:rPr>
              <w:t>根据《关于促进残疾人就业政府采购政策的通知》（财库〔2017〕141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pPr>
              <w:rPr>
                <w:rFonts w:ascii="楷体" w:hAnsi="楷体" w:eastAsia="楷体"/>
                <w:color w:val="000000" w:themeColor="text1"/>
                <w:szCs w:val="21"/>
              </w:rPr>
            </w:pPr>
            <w:r>
              <w:rPr>
                <w:rFonts w:hint="eastAsia" w:ascii="楷体" w:hAnsi="楷体" w:eastAsia="楷体"/>
                <w:color w:val="000000" w:themeColor="text1"/>
                <w:szCs w:val="21"/>
              </w:rPr>
              <w:t>注：《中小企业声明函》填写格式见磋商文件第六部分竞标磋商响应文件（格式）。</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55</w:t>
            </w:r>
          </w:p>
        </w:tc>
      </w:tr>
    </w:tbl>
    <w:p>
      <w:pPr>
        <w:spacing w:line="440" w:lineRule="exact"/>
        <w:ind w:firstLine="480" w:firstLineChars="200"/>
        <w:rPr>
          <w:rFonts w:ascii="楷体" w:hAnsi="楷体" w:eastAsia="楷体"/>
          <w:sz w:val="24"/>
        </w:rPr>
      </w:pPr>
    </w:p>
    <w:p>
      <w:pPr>
        <w:spacing w:line="400" w:lineRule="exact"/>
        <w:ind w:firstLine="480" w:firstLineChars="200"/>
        <w:rPr>
          <w:rFonts w:ascii="楷体" w:hAnsi="楷体" w:eastAsia="楷体"/>
          <w:bCs/>
          <w:sz w:val="24"/>
        </w:rPr>
      </w:pPr>
      <w:r>
        <w:rPr>
          <w:rFonts w:hint="eastAsia" w:ascii="楷体" w:hAnsi="楷体" w:eastAsia="楷体"/>
          <w:bCs/>
          <w:sz w:val="24"/>
        </w:rPr>
        <w:t>29.3关于磋商文件要求携带原件的材料，磋商小组保留对携带原件资料的审核权，如在要求审核原件时未能提供原件的，可以用公证部门出具的证明复印件与原件一致的公证书替代。如果供应商既不能提供原件，又不能提供公证书，则视同没有。</w:t>
      </w:r>
    </w:p>
    <w:p>
      <w:pPr>
        <w:spacing w:line="360" w:lineRule="auto"/>
        <w:ind w:firstLine="482" w:firstLineChars="200"/>
        <w:rPr>
          <w:rFonts w:ascii="楷体" w:hAnsi="楷体" w:eastAsia="楷体"/>
          <w:b/>
          <w:sz w:val="24"/>
          <w:u w:val="single"/>
        </w:rPr>
      </w:pPr>
      <w:r>
        <w:rPr>
          <w:rFonts w:hint="eastAsia" w:ascii="楷体" w:hAnsi="楷体" w:eastAsia="楷体"/>
          <w:b/>
          <w:sz w:val="24"/>
        </w:rPr>
        <w:t xml:space="preserve">29.4 </w:t>
      </w:r>
      <w:r>
        <w:rPr>
          <w:rFonts w:hint="eastAsia" w:ascii="楷体" w:hAnsi="楷体" w:eastAsia="楷体"/>
          <w:b/>
          <w:sz w:val="24"/>
          <w:u w:val="single"/>
        </w:rPr>
        <w:t>各供应商评审总得分为29.2各项评分因素分数之和，磋商小组应当根据综合评分情况，按照评审得分（四舍五入，保留到小数点后两位）由高到低顺序推荐成交候选供应商，并编写评审报告。评审得分相同的，按照最后报价由低到高的顺序推荐。评审得分且最后报价相同的，按照技术指标优劣顺序推荐。</w:t>
      </w:r>
    </w:p>
    <w:bookmarkEnd w:id="30"/>
    <w:bookmarkEnd w:id="31"/>
    <w:bookmarkEnd w:id="32"/>
    <w:bookmarkEnd w:id="33"/>
    <w:bookmarkEnd w:id="34"/>
    <w:p>
      <w:pPr>
        <w:spacing w:before="200" w:line="440" w:lineRule="exact"/>
        <w:rPr>
          <w:rFonts w:ascii="楷体" w:hAnsi="楷体" w:eastAsia="楷体"/>
          <w:b/>
          <w:sz w:val="30"/>
          <w:szCs w:val="30"/>
          <w:shd w:val="clear" w:color="auto" w:fill="FFFFFF"/>
        </w:rPr>
      </w:pPr>
      <w:bookmarkStart w:id="36" w:name="_Toc22000611"/>
      <w:bookmarkStart w:id="37" w:name="_Toc92168040"/>
      <w:r>
        <w:rPr>
          <w:rFonts w:hint="eastAsia" w:ascii="楷体" w:hAnsi="楷体" w:eastAsia="楷体"/>
          <w:b/>
          <w:sz w:val="30"/>
          <w:szCs w:val="30"/>
          <w:shd w:val="clear" w:color="auto" w:fill="FFFFFF"/>
        </w:rPr>
        <w:t>30、允许修改磋商结果的情形</w:t>
      </w:r>
    </w:p>
    <w:p>
      <w:pPr>
        <w:spacing w:line="440" w:lineRule="exact"/>
        <w:ind w:firstLine="480" w:firstLineChars="200"/>
        <w:rPr>
          <w:rFonts w:ascii="楷体" w:hAnsi="楷体" w:eastAsia="楷体"/>
          <w:sz w:val="24"/>
        </w:rPr>
      </w:pPr>
      <w:r>
        <w:rPr>
          <w:rFonts w:hint="eastAsia" w:ascii="楷体" w:hAnsi="楷体" w:eastAsia="楷体"/>
          <w:sz w:val="24"/>
        </w:rPr>
        <w:t>30.1磋商结果汇总完成后，除下列情形外，任何人不得修改磋商结果：</w:t>
      </w:r>
    </w:p>
    <w:p>
      <w:pPr>
        <w:spacing w:line="440" w:lineRule="exact"/>
        <w:ind w:firstLine="480" w:firstLineChars="200"/>
        <w:rPr>
          <w:rFonts w:ascii="楷体" w:hAnsi="楷体" w:eastAsia="楷体"/>
          <w:sz w:val="24"/>
        </w:rPr>
      </w:pPr>
      <w:r>
        <w:rPr>
          <w:rFonts w:hint="eastAsia" w:ascii="楷体" w:hAnsi="楷体" w:eastAsia="楷体"/>
          <w:sz w:val="24"/>
        </w:rPr>
        <w:t>（1）分值汇总计算错误的；</w:t>
      </w:r>
    </w:p>
    <w:p>
      <w:pPr>
        <w:spacing w:line="440" w:lineRule="exact"/>
        <w:ind w:firstLine="480" w:firstLineChars="200"/>
        <w:rPr>
          <w:rFonts w:ascii="楷体" w:hAnsi="楷体" w:eastAsia="楷体"/>
          <w:sz w:val="24"/>
        </w:rPr>
      </w:pPr>
      <w:r>
        <w:rPr>
          <w:rFonts w:hint="eastAsia" w:ascii="楷体" w:hAnsi="楷体" w:eastAsia="楷体"/>
          <w:sz w:val="24"/>
        </w:rPr>
        <w:t>（2）分项评分超出评分标准范围的；</w:t>
      </w:r>
    </w:p>
    <w:p>
      <w:pPr>
        <w:spacing w:line="440" w:lineRule="exact"/>
        <w:ind w:firstLine="480" w:firstLineChars="200"/>
        <w:rPr>
          <w:rFonts w:ascii="楷体" w:hAnsi="楷体" w:eastAsia="楷体"/>
          <w:sz w:val="24"/>
        </w:rPr>
      </w:pPr>
      <w:r>
        <w:rPr>
          <w:rFonts w:hint="eastAsia" w:ascii="楷体" w:hAnsi="楷体" w:eastAsia="楷体"/>
          <w:sz w:val="24"/>
        </w:rPr>
        <w:t>（3）磋商小组成员对客观评审因素评分不一致的；</w:t>
      </w:r>
    </w:p>
    <w:p>
      <w:pPr>
        <w:spacing w:line="440" w:lineRule="exact"/>
        <w:ind w:firstLine="480" w:firstLineChars="200"/>
        <w:rPr>
          <w:rFonts w:ascii="楷体" w:hAnsi="楷体" w:eastAsia="楷体"/>
          <w:sz w:val="24"/>
        </w:rPr>
      </w:pPr>
      <w:r>
        <w:rPr>
          <w:rFonts w:hint="eastAsia" w:ascii="楷体" w:hAnsi="楷体" w:eastAsia="楷体"/>
          <w:sz w:val="24"/>
        </w:rPr>
        <w:t>（4）经磋商小组认定评分畸高、畸低的。</w:t>
      </w:r>
    </w:p>
    <w:p>
      <w:pPr>
        <w:spacing w:line="440" w:lineRule="exact"/>
        <w:ind w:firstLine="480" w:firstLineChars="200"/>
        <w:rPr>
          <w:rFonts w:ascii="楷体" w:hAnsi="楷体" w:eastAsia="楷体"/>
          <w:sz w:val="24"/>
        </w:rPr>
      </w:pPr>
      <w:r>
        <w:rPr>
          <w:rFonts w:hint="eastAsia" w:ascii="楷体" w:hAnsi="楷体" w:eastAsia="楷体"/>
          <w:sz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门。</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31、推荐和确定成交供应商</w:t>
      </w:r>
    </w:p>
    <w:p>
      <w:pPr>
        <w:spacing w:line="360" w:lineRule="auto"/>
        <w:ind w:firstLine="480" w:firstLineChars="200"/>
        <w:rPr>
          <w:rFonts w:ascii="楷体" w:hAnsi="楷体" w:eastAsia="楷体"/>
          <w:sz w:val="24"/>
        </w:rPr>
      </w:pPr>
      <w:r>
        <w:rPr>
          <w:rFonts w:hint="eastAsia" w:ascii="楷体" w:hAnsi="楷体" w:eastAsia="楷体"/>
          <w:sz w:val="24"/>
        </w:rPr>
        <w:t>31.1磋商小组将根据磋商结果向采购人推荐出成交供应商。</w:t>
      </w:r>
    </w:p>
    <w:p>
      <w:pPr>
        <w:spacing w:line="360" w:lineRule="auto"/>
        <w:ind w:firstLine="480" w:firstLineChars="200"/>
        <w:rPr>
          <w:rFonts w:ascii="楷体" w:hAnsi="楷体" w:eastAsia="楷体"/>
          <w:sz w:val="24"/>
        </w:rPr>
      </w:pPr>
      <w:r>
        <w:rPr>
          <w:rFonts w:hint="eastAsia" w:ascii="楷体" w:hAnsi="楷体" w:eastAsia="楷体"/>
          <w:sz w:val="24"/>
        </w:rPr>
        <w:t>31.2采购人根据磋商小组的推荐最终确定成交供应商。</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六、授予合同</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32、磋商组织方接受和拒绝任何或所有磋商的权利</w:t>
      </w:r>
    </w:p>
    <w:p>
      <w:pPr>
        <w:spacing w:line="440" w:lineRule="exact"/>
        <w:ind w:firstLine="480" w:firstLineChars="200"/>
        <w:rPr>
          <w:rFonts w:ascii="楷体" w:hAnsi="楷体" w:eastAsia="楷体"/>
          <w:sz w:val="24"/>
        </w:rPr>
      </w:pPr>
      <w:r>
        <w:rPr>
          <w:rFonts w:hint="eastAsia" w:ascii="楷体" w:hAnsi="楷体" w:eastAsia="楷体"/>
          <w:sz w:val="24"/>
        </w:rPr>
        <w:t>32.1为维护国家和社会公共利益，磋商组织方保留在授标之前任何时候接受或拒绝任何供应商成交的权利，且对受影响的供应商不承担任何责任。</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33、磋商组织方接受和拒绝任何或所有磋商响应的权利</w:t>
      </w:r>
    </w:p>
    <w:p>
      <w:pPr>
        <w:spacing w:line="440" w:lineRule="exact"/>
        <w:ind w:firstLine="480" w:firstLineChars="200"/>
        <w:rPr>
          <w:rFonts w:ascii="楷体" w:hAnsi="楷体" w:eastAsia="楷体"/>
          <w:sz w:val="24"/>
        </w:rPr>
      </w:pPr>
      <w:r>
        <w:rPr>
          <w:rFonts w:hint="eastAsia" w:ascii="楷体" w:hAnsi="楷体" w:eastAsia="楷体"/>
          <w:sz w:val="24"/>
        </w:rPr>
        <w:t>33.1为维护国家和社会公共利益，磋商组织方保留在授标（即签订合同）之前任何时候接受或拒绝任何供应商成交的权利，且对受影响的供应商不承担任何责任。</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34、成交通知书</w:t>
      </w:r>
    </w:p>
    <w:p>
      <w:pPr>
        <w:spacing w:line="440" w:lineRule="exact"/>
        <w:ind w:firstLine="480" w:firstLineChars="200"/>
        <w:rPr>
          <w:rFonts w:ascii="楷体" w:hAnsi="楷体" w:eastAsia="楷体"/>
          <w:sz w:val="24"/>
        </w:rPr>
      </w:pPr>
      <w:r>
        <w:rPr>
          <w:rFonts w:hint="eastAsia" w:ascii="楷体" w:hAnsi="楷体" w:eastAsia="楷体"/>
          <w:sz w:val="24"/>
        </w:rPr>
        <w:t>34.1在磋商响应有效期期满之前,磋商组织方将以书面形式通知成交供应商，成交供应商在收到成交通知书后，须立即以书面形式回复磋商组织方，确认成交通知书已收，并同意接受。</w:t>
      </w:r>
    </w:p>
    <w:p>
      <w:pPr>
        <w:spacing w:line="440" w:lineRule="exact"/>
        <w:ind w:firstLine="480" w:firstLineChars="200"/>
        <w:rPr>
          <w:rFonts w:ascii="楷体" w:hAnsi="楷体" w:eastAsia="楷体"/>
          <w:sz w:val="24"/>
        </w:rPr>
      </w:pPr>
      <w:r>
        <w:rPr>
          <w:rFonts w:hint="eastAsia" w:ascii="楷体" w:hAnsi="楷体" w:eastAsia="楷体"/>
          <w:sz w:val="24"/>
        </w:rPr>
        <w:t>34.2成交通知书将是合同的一个组成部分。</w:t>
      </w:r>
    </w:p>
    <w:p>
      <w:pPr>
        <w:spacing w:line="440" w:lineRule="exact"/>
        <w:ind w:firstLine="480" w:firstLineChars="200"/>
        <w:rPr>
          <w:rFonts w:ascii="楷体" w:hAnsi="楷体" w:eastAsia="楷体"/>
          <w:sz w:val="24"/>
        </w:rPr>
      </w:pPr>
      <w:r>
        <w:rPr>
          <w:rFonts w:hint="eastAsia" w:ascii="楷体" w:hAnsi="楷体" w:eastAsia="楷体"/>
          <w:sz w:val="24"/>
        </w:rPr>
        <w:t>34.3成交通知书发出后，采购人不得违法改变成交结果，成交供应商无正当理由不得放弃成交。</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35、签订合同时不得对磋商响应做实质性更改</w:t>
      </w:r>
    </w:p>
    <w:p>
      <w:pPr>
        <w:spacing w:line="440" w:lineRule="exact"/>
        <w:ind w:firstLine="480" w:firstLineChars="200"/>
        <w:rPr>
          <w:rFonts w:ascii="楷体" w:hAnsi="楷体" w:eastAsia="楷体"/>
          <w:sz w:val="24"/>
        </w:rPr>
      </w:pPr>
      <w:r>
        <w:rPr>
          <w:rFonts w:hint="eastAsia" w:ascii="楷体" w:hAnsi="楷体" w:eastAsia="楷体"/>
          <w:sz w:val="24"/>
        </w:rPr>
        <w:t>35.1采购人按照磋商文件和成交供应商磋商响应文件的约定，与成交供应商签订书面合同。所签订的合同不得对磋商文件和成交供应商磋商响应文件作实质性修改。</w:t>
      </w:r>
    </w:p>
    <w:p>
      <w:pPr>
        <w:pStyle w:val="4"/>
        <w:keepNext w:val="0"/>
        <w:keepLines w:val="0"/>
        <w:spacing w:before="0" w:after="0" w:line="440" w:lineRule="exact"/>
        <w:ind w:firstLine="470" w:firstLineChars="196"/>
        <w:rPr>
          <w:rFonts w:ascii="楷体" w:hAnsi="楷体" w:eastAsia="楷体"/>
          <w:b w:val="0"/>
          <w:sz w:val="24"/>
        </w:rPr>
      </w:pPr>
      <w:r>
        <w:rPr>
          <w:rFonts w:hint="eastAsia" w:ascii="楷体" w:hAnsi="楷体" w:eastAsia="楷体"/>
          <w:b w:val="0"/>
          <w:sz w:val="24"/>
        </w:rPr>
        <w:t>35.2合同履行中，采购人需追加与合同标的相同货物时，在不改变合同其他条款的前提下，可以与成交供应商协商签订补充合同，但所有补充合同的采购金额不得超过原合同采购金额的百分之十。</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36、签订合同</w:t>
      </w:r>
    </w:p>
    <w:p>
      <w:pPr>
        <w:spacing w:line="440" w:lineRule="exact"/>
        <w:ind w:firstLine="480" w:firstLineChars="200"/>
        <w:rPr>
          <w:rFonts w:ascii="楷体" w:hAnsi="楷体" w:eastAsia="楷体"/>
          <w:sz w:val="24"/>
        </w:rPr>
      </w:pPr>
      <w:r>
        <w:rPr>
          <w:rFonts w:hint="eastAsia" w:ascii="楷体" w:hAnsi="楷体" w:eastAsia="楷体"/>
          <w:sz w:val="24"/>
        </w:rPr>
        <w:t>36.1采购人应当自成交通知书发出之日起30日内，按照磋商文件和成交供应商磋商响应文件的规定，与成交供应商签订书面合同。所签订的合同不得对磋商文件确定的事项和成交供应商磋商响应文件作实质性修改。采购人不得向成交供应商提出任何不合理的要求作为签订合同的条件。</w:t>
      </w:r>
    </w:p>
    <w:p>
      <w:pPr>
        <w:spacing w:line="440" w:lineRule="exact"/>
        <w:ind w:firstLine="480" w:firstLineChars="200"/>
        <w:rPr>
          <w:rFonts w:ascii="楷体" w:hAnsi="楷体" w:eastAsia="楷体"/>
          <w:sz w:val="24"/>
        </w:rPr>
      </w:pPr>
      <w:r>
        <w:rPr>
          <w:rFonts w:hint="eastAsia" w:ascii="楷体" w:hAnsi="楷体" w:eastAsia="楷体"/>
          <w:sz w:val="24"/>
        </w:rPr>
        <w:t>36.2政府采购合同应当包括采购人与成交供应商的名称和住所、标的、数量、质量、价款或者报酬、履行期限及地点和方式、验收要求、违约责任、解决争议的方法等内容。</w:t>
      </w:r>
    </w:p>
    <w:p>
      <w:pPr>
        <w:spacing w:line="440" w:lineRule="exact"/>
        <w:ind w:firstLine="480" w:firstLineChars="200"/>
        <w:rPr>
          <w:rFonts w:ascii="楷体" w:hAnsi="楷体" w:eastAsia="楷体"/>
          <w:sz w:val="24"/>
        </w:rPr>
      </w:pPr>
      <w:r>
        <w:rPr>
          <w:rFonts w:hint="eastAsia" w:ascii="楷体" w:hAnsi="楷体" w:eastAsia="楷体"/>
          <w:sz w:val="24"/>
        </w:rPr>
        <w:t>36.3采购人与成交供应商应当根据合同的约定依法履行合同义务。政府采购合同的履行、违约责任和解决争议的方法等适用《中华人民共和国合同法》。</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 xml:space="preserve">37、政府采购贷款扶持政策 </w:t>
      </w:r>
    </w:p>
    <w:p>
      <w:pPr>
        <w:spacing w:line="440" w:lineRule="exact"/>
        <w:ind w:firstLine="480" w:firstLineChars="200"/>
        <w:rPr>
          <w:rFonts w:ascii="楷体" w:hAnsi="楷体" w:eastAsia="楷体"/>
          <w:sz w:val="24"/>
        </w:rPr>
      </w:pPr>
      <w:r>
        <w:rPr>
          <w:rFonts w:hint="eastAsia" w:ascii="楷体" w:hAnsi="楷体" w:eastAsia="楷体"/>
          <w:sz w:val="24"/>
        </w:rPr>
        <w:t>37.1根据国家扶持中小企业的有关政策，磋商组织方负责代理的采购项目成交企业，在履约过程中如遇到资金困难，凭成交通知书在相关金融机构办理授信申请，相关事宜请查阅“镇江市公共资源交易服务平台---政府采购”网站。</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38、履约保证金</w:t>
      </w:r>
    </w:p>
    <w:p>
      <w:pPr>
        <w:spacing w:line="440" w:lineRule="exact"/>
        <w:ind w:firstLine="480" w:firstLineChars="200"/>
        <w:rPr>
          <w:rFonts w:ascii="楷体" w:hAnsi="楷体" w:eastAsia="楷体"/>
          <w:sz w:val="24"/>
        </w:rPr>
      </w:pPr>
      <w:r>
        <w:rPr>
          <w:rFonts w:hint="eastAsia" w:ascii="楷体" w:hAnsi="楷体" w:eastAsia="楷体"/>
          <w:sz w:val="24"/>
        </w:rPr>
        <w:t>38.1本项目履约保证金为签约合同价的5%。</w:t>
      </w:r>
    </w:p>
    <w:p>
      <w:pPr>
        <w:spacing w:line="360" w:lineRule="auto"/>
        <w:jc w:val="center"/>
        <w:rPr>
          <w:rFonts w:ascii="楷体" w:hAnsi="楷体" w:eastAsia="楷体"/>
          <w:b/>
          <w:sz w:val="30"/>
          <w:szCs w:val="30"/>
          <w:shd w:val="clear" w:color="auto" w:fill="FFFFFF"/>
        </w:rPr>
      </w:pPr>
    </w:p>
    <w:p>
      <w:pPr>
        <w:spacing w:line="360" w:lineRule="auto"/>
        <w:ind w:firstLine="420"/>
        <w:jc w:val="center"/>
        <w:rPr>
          <w:rFonts w:ascii="楷体" w:hAnsi="楷体" w:eastAsia="楷体"/>
          <w:sz w:val="30"/>
          <w:szCs w:val="30"/>
        </w:rPr>
      </w:pPr>
      <w:r>
        <w:rPr>
          <w:rFonts w:hint="eastAsia" w:ascii="楷体" w:hAnsi="楷体" w:eastAsia="楷体"/>
          <w:b/>
          <w:sz w:val="30"/>
          <w:szCs w:val="30"/>
          <w:shd w:val="clear" w:color="auto" w:fill="FFFFFF"/>
        </w:rPr>
        <w:t>七、询问、质疑和投诉</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39、询问</w:t>
      </w:r>
    </w:p>
    <w:p>
      <w:pPr>
        <w:spacing w:line="360" w:lineRule="auto"/>
        <w:ind w:firstLine="480" w:firstLineChars="200"/>
        <w:rPr>
          <w:rFonts w:ascii="楷体" w:hAnsi="楷体" w:eastAsia="楷体"/>
          <w:sz w:val="24"/>
        </w:rPr>
      </w:pPr>
      <w:r>
        <w:rPr>
          <w:rFonts w:hint="eastAsia" w:ascii="楷体" w:hAnsi="楷体" w:eastAsia="楷体"/>
          <w:sz w:val="24"/>
        </w:rPr>
        <w:t>39.1 供应商对磋商活动事项有疑问的，可以向采购人或磋商组织方提出询问，采购人或磋商组织方将依法作出答复，但答复的内容不涉及商业秘密。</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40、质疑</w:t>
      </w:r>
    </w:p>
    <w:p>
      <w:pPr>
        <w:spacing w:line="360" w:lineRule="auto"/>
        <w:ind w:firstLine="480" w:firstLineChars="200"/>
        <w:rPr>
          <w:rFonts w:ascii="楷体" w:hAnsi="楷体" w:eastAsia="楷体"/>
          <w:sz w:val="24"/>
        </w:rPr>
      </w:pPr>
      <w:r>
        <w:rPr>
          <w:rFonts w:hint="eastAsia" w:ascii="楷体" w:hAnsi="楷体" w:eastAsia="楷体"/>
          <w:sz w:val="24"/>
        </w:rPr>
        <w:t>40.1质疑供应商是指直接参加本项目采购活动的供应商；供应商认为采购文件、采购过程和成交结果使自己的合法权益受到损害的，可以在知道或者应当知道其权益受到损害之日起七个工作日内，将质疑文件原件送达采购人或磋商组织方。对采购文件提出质疑的，应自供应商获得采购文件之日起计算；对采购过程提出质疑的，自采购程序环节结束之日起计算；对成交结果提出质疑的，自成交结果公告届满之日起计算。</w:t>
      </w:r>
    </w:p>
    <w:p>
      <w:pPr>
        <w:spacing w:line="360" w:lineRule="auto"/>
        <w:ind w:firstLine="480" w:firstLineChars="200"/>
        <w:rPr>
          <w:rFonts w:ascii="楷体" w:hAnsi="楷体" w:eastAsia="楷体"/>
          <w:sz w:val="24"/>
        </w:rPr>
      </w:pPr>
      <w:r>
        <w:rPr>
          <w:rFonts w:hint="eastAsia" w:ascii="楷体" w:hAnsi="楷体" w:eastAsia="楷体"/>
          <w:sz w:val="24"/>
        </w:rPr>
        <w:t>40.2供应商应按照“谁主张、谁举证”的原则对质疑内容提供相关证明材料，并对质疑内容的真实性承担责任。供应商不得虚假质疑和恶意质疑，如通过捏造事实、伪造证明材料等方式提出异议或投诉，阻碍招磋商活动正常进行的，属于严重不良行为，磋商组织方将提请财政部门将其列入不良行为记录名单，并依法予以处罚。</w:t>
      </w:r>
    </w:p>
    <w:p>
      <w:pPr>
        <w:spacing w:line="360" w:lineRule="auto"/>
        <w:ind w:firstLine="480" w:firstLineChars="200"/>
        <w:rPr>
          <w:rFonts w:ascii="楷体" w:hAnsi="楷体" w:eastAsia="楷体"/>
          <w:sz w:val="24"/>
        </w:rPr>
      </w:pPr>
      <w:r>
        <w:rPr>
          <w:rFonts w:hint="eastAsia" w:ascii="楷体" w:hAnsi="楷体" w:eastAsia="楷体"/>
          <w:sz w:val="24"/>
        </w:rPr>
        <w:t>40.3供应商如对采购需求提出质疑，除向磋商组织方递交质疑文件外，还应当向采购人递交质疑文件，采购人负责处理和答复涉及采购需求、评分标准（如为采购人提供的）的质疑内容。</w:t>
      </w:r>
    </w:p>
    <w:p>
      <w:pPr>
        <w:spacing w:line="360" w:lineRule="auto"/>
        <w:ind w:firstLine="480" w:firstLineChars="200"/>
        <w:rPr>
          <w:rFonts w:ascii="楷体" w:hAnsi="楷体" w:eastAsia="楷体"/>
          <w:sz w:val="24"/>
        </w:rPr>
      </w:pPr>
      <w:r>
        <w:rPr>
          <w:rFonts w:hint="eastAsia" w:ascii="楷体" w:hAnsi="楷体" w:eastAsia="楷体"/>
          <w:sz w:val="24"/>
        </w:rPr>
        <w:t>40.4采购人或磋商组织方在收到供应商的书面质疑后将及时组织调查核实，在七个工作日内作出答复，并以书面或在网站公告形式通知质疑供应商和其他有关供应商，答复的内容不涉及商业秘密。</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41、投诉</w:t>
      </w:r>
    </w:p>
    <w:p>
      <w:pPr>
        <w:spacing w:line="360" w:lineRule="auto"/>
        <w:ind w:firstLine="480" w:firstLineChars="200"/>
        <w:rPr>
          <w:rFonts w:ascii="楷体" w:hAnsi="楷体" w:eastAsia="楷体"/>
          <w:b/>
          <w:sz w:val="30"/>
          <w:szCs w:val="30"/>
          <w:shd w:val="clear" w:color="auto" w:fill="FFFFFF"/>
        </w:rPr>
      </w:pPr>
      <w:r>
        <w:rPr>
          <w:rFonts w:hint="eastAsia" w:ascii="楷体" w:hAnsi="楷体" w:eastAsia="楷体"/>
          <w:sz w:val="24"/>
          <w:shd w:val="clear" w:color="auto" w:fill="FFFFFF"/>
        </w:rPr>
        <w:t>41.1</w:t>
      </w:r>
      <w:r>
        <w:rPr>
          <w:rFonts w:hint="eastAsia" w:ascii="楷体" w:hAnsi="楷体" w:eastAsia="楷体"/>
          <w:sz w:val="24"/>
        </w:rPr>
        <w:t>质疑供应商对采购人或磋商组织方的答复不满意，以及采购人或磋商组织方未在规定的时间内作出答复的，可以在答复期满后十五个工作日内向采购项目同级财政部门投诉。</w:t>
      </w:r>
    </w:p>
    <w:p>
      <w:pPr>
        <w:spacing w:line="360" w:lineRule="auto"/>
        <w:jc w:val="center"/>
        <w:rPr>
          <w:rFonts w:ascii="楷体" w:hAnsi="楷体" w:eastAsia="楷体"/>
          <w:sz w:val="30"/>
          <w:szCs w:val="30"/>
        </w:rPr>
      </w:pPr>
      <w:r>
        <w:rPr>
          <w:rFonts w:hint="eastAsia" w:ascii="楷体" w:hAnsi="楷体" w:eastAsia="楷体"/>
          <w:b/>
          <w:sz w:val="30"/>
          <w:szCs w:val="30"/>
          <w:shd w:val="clear" w:color="auto" w:fill="FFFFFF"/>
        </w:rPr>
        <w:t>八、诚实信用和解释权</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42、诚实信用</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42.1 供应商之间不得相互串通竞标报价，不得妨碍其他供应商的公平竞争，不得损害采购人和其他供应商的合法权益。</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42.2 供应商不得以向磋商组织方工作人员、磋商小组成员行贿或者采取其他不正当手段谋取中标成交。经查实供应商有此行为的，将在“镇江市公共资源交易网-政府采购”公告，政府采购管理部门将供应商列入不良行为记录名单，按照《政府采购法》有关规定处理。</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42.3供应商不得虚假承诺，否则，按照提供虚假材料谋取中标成交处理。</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42.4供应商应自觉遵守开标、评标纪律，扰乱开标评标现场秩序的，属于失信行为，根据《江苏省政府采购供应商监督管理暂行办法》，失信行为将被记入供应商诚信档案。</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42.5</w:t>
      </w:r>
      <w:r>
        <w:rPr>
          <w:rFonts w:hint="eastAsia" w:ascii="楷体" w:hAnsi="楷体" w:eastAsia="楷体"/>
          <w:sz w:val="24"/>
        </w:rPr>
        <w:t>根据《财政部关于在政府采购活动中查询及使用信息记录有关问题的通知》（财库〔2016〕125号）、江苏省财政厅《关于做好政府采购信用信息查询使用及登记等工作的通知》（苏财购〔2016〕50号）等文件精神，磋商小组在项目资格性审查时对参加本项目的各供应商进行信用记录查询，信用记录查询渠道为“信用中国”网站（www.creditchina.gov.cn）、中国政府采购网（www.ccgp.gov.cn）、“信用江苏”网站（http://www.jscredit.gov.cn），信用记录查询截止时间为项目资格性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43、解释权</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43.1 除相关法律、法规规定外，本磋商文件的解释权归江苏省华厦工程项目管理有限公司所有。</w:t>
      </w:r>
    </w:p>
    <w:p>
      <w:pPr>
        <w:spacing w:line="360" w:lineRule="auto"/>
        <w:jc w:val="center"/>
        <w:rPr>
          <w:rFonts w:ascii="楷体" w:hAnsi="楷体" w:eastAsia="楷体"/>
          <w:b/>
          <w:sz w:val="36"/>
          <w:szCs w:val="36"/>
        </w:rPr>
      </w:pPr>
      <w:r>
        <w:rPr>
          <w:rFonts w:ascii="楷体" w:hAnsi="楷体" w:eastAsia="楷体"/>
          <w:b/>
          <w:sz w:val="36"/>
        </w:rPr>
        <w:br w:type="page"/>
      </w:r>
      <w:r>
        <w:rPr>
          <w:rFonts w:hint="eastAsia" w:ascii="楷体" w:hAnsi="楷体" w:eastAsia="楷体"/>
          <w:b/>
          <w:sz w:val="36"/>
        </w:rPr>
        <w:t xml:space="preserve">第三部分  </w:t>
      </w:r>
      <w:bookmarkEnd w:id="3"/>
      <w:bookmarkEnd w:id="36"/>
      <w:bookmarkEnd w:id="37"/>
      <w:r>
        <w:rPr>
          <w:rFonts w:hint="eastAsia" w:ascii="楷体" w:hAnsi="楷体" w:eastAsia="楷体"/>
          <w:b/>
          <w:sz w:val="36"/>
          <w:szCs w:val="36"/>
        </w:rPr>
        <w:t>合  同  书（格式）</w:t>
      </w:r>
    </w:p>
    <w:p>
      <w:pPr>
        <w:spacing w:line="500" w:lineRule="exact"/>
        <w:ind w:right="385"/>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采购单位（全称）：（以下简称甲方）</w:t>
      </w:r>
    </w:p>
    <w:p>
      <w:pPr>
        <w:spacing w:line="500" w:lineRule="exact"/>
        <w:ind w:right="385"/>
        <w:rPr>
          <w:rFonts w:ascii="仿宋_GB2312" w:hAnsi="仿宋_GB2312" w:eastAsia="仿宋_GB2312" w:cs="仿宋_GB2312"/>
          <w:b/>
          <w:color w:val="000000"/>
          <w:spacing w:val="-4"/>
          <w:sz w:val="24"/>
        </w:rPr>
      </w:pPr>
      <w:r>
        <w:rPr>
          <w:rFonts w:hint="eastAsia" w:ascii="仿宋_GB2312" w:hAnsi="仿宋_GB2312" w:eastAsia="仿宋_GB2312" w:cs="仿宋_GB2312"/>
          <w:color w:val="000000"/>
          <w:spacing w:val="-4"/>
          <w:sz w:val="24"/>
        </w:rPr>
        <w:t>供 应 商（全称）：（以下简称乙方）</w:t>
      </w:r>
    </w:p>
    <w:p>
      <w:pPr>
        <w:spacing w:line="500" w:lineRule="exact"/>
        <w:ind w:right="385" w:firstLine="600" w:firstLineChars="250"/>
        <w:rPr>
          <w:rFonts w:ascii="仿宋_GB2312" w:hAnsi="仿宋_GB2312" w:eastAsia="仿宋_GB2312" w:cs="仿宋_GB2312"/>
          <w:b/>
          <w:color w:val="000000"/>
          <w:spacing w:val="-4"/>
          <w:sz w:val="24"/>
        </w:rPr>
      </w:pPr>
      <w:r>
        <w:rPr>
          <w:rFonts w:hint="eastAsia" w:ascii="仿宋_GB2312" w:hAnsi="仿宋_GB2312" w:eastAsia="仿宋_GB2312" w:cs="仿宋_GB2312"/>
          <w:color w:val="000000"/>
          <w:sz w:val="24"/>
        </w:rPr>
        <w:t>依照《政府采购法》、《合同法》及其他有关法律、行政法规，遵循平等、自愿、公平和诚实信用的原则，双方就</w:t>
      </w:r>
      <w:r>
        <w:rPr>
          <w:rFonts w:hint="eastAsia" w:ascii="仿宋_GB2312" w:hAnsi="仿宋_GB2312" w:eastAsia="仿宋_GB2312" w:cs="仿宋_GB2312"/>
          <w:bCs/>
          <w:color w:val="000000"/>
          <w:sz w:val="24"/>
        </w:rPr>
        <w:t>智能分流井成套设备采购及安装相关</w:t>
      </w:r>
      <w:r>
        <w:rPr>
          <w:rFonts w:hint="eastAsia" w:ascii="仿宋_GB2312" w:hAnsi="仿宋_GB2312" w:eastAsia="仿宋_GB2312" w:cs="仿宋_GB2312"/>
          <w:color w:val="000000"/>
          <w:sz w:val="24"/>
        </w:rPr>
        <w:t>事项协商一致，达成如下合同条款：</w:t>
      </w:r>
    </w:p>
    <w:p>
      <w:pPr>
        <w:spacing w:line="500" w:lineRule="exact"/>
        <w:ind w:right="385"/>
        <w:rPr>
          <w:rFonts w:ascii="仿宋_GB2312" w:hAnsi="仿宋_GB2312" w:eastAsia="仿宋_GB2312" w:cs="仿宋_GB2312"/>
          <w:b/>
          <w:color w:val="000000"/>
          <w:spacing w:val="-4"/>
          <w:sz w:val="24"/>
        </w:rPr>
      </w:pPr>
      <w:r>
        <w:rPr>
          <w:rFonts w:hint="eastAsia" w:ascii="仿宋_GB2312" w:hAnsi="仿宋_GB2312" w:eastAsia="仿宋_GB2312" w:cs="仿宋_GB2312"/>
          <w:b/>
          <w:color w:val="000000"/>
          <w:spacing w:val="-4"/>
          <w:sz w:val="24"/>
        </w:rPr>
        <w:t>一、合同价款、清单、交货安装时间、地点</w:t>
      </w:r>
    </w:p>
    <w:p>
      <w:pPr>
        <w:spacing w:line="500" w:lineRule="exact"/>
        <w:ind w:right="385" w:firstLine="464"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 xml:space="preserve">1、合同价款：              </w:t>
      </w:r>
    </w:p>
    <w:p>
      <w:pPr>
        <w:spacing w:line="500" w:lineRule="exact"/>
        <w:ind w:right="385" w:firstLine="464"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2、供货清单：</w:t>
      </w:r>
    </w:p>
    <w:tbl>
      <w:tblPr>
        <w:tblStyle w:val="5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47"/>
        <w:gridCol w:w="1134"/>
        <w:gridCol w:w="945"/>
        <w:gridCol w:w="1181"/>
        <w:gridCol w:w="756"/>
        <w:gridCol w:w="876"/>
        <w:gridCol w:w="113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2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货物</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1134"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品牌</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型号</w:t>
            </w:r>
          </w:p>
        </w:tc>
        <w:tc>
          <w:tcPr>
            <w:tcW w:w="9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规格</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参数</w:t>
            </w:r>
          </w:p>
        </w:tc>
        <w:tc>
          <w:tcPr>
            <w:tcW w:w="118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厂家</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（产地）</w:t>
            </w:r>
          </w:p>
        </w:tc>
        <w:tc>
          <w:tcPr>
            <w:tcW w:w="75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87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1134"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单价（元）</w:t>
            </w:r>
          </w:p>
        </w:tc>
        <w:tc>
          <w:tcPr>
            <w:tcW w:w="1518"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542" w:type="dxa"/>
            <w:gridSpan w:val="9"/>
            <w:vAlign w:val="center"/>
          </w:tcPr>
          <w:p>
            <w:pPr>
              <w:spacing w:line="4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合计总报价(大写人民币):                        ￥:             元</w:t>
            </w:r>
          </w:p>
        </w:tc>
      </w:tr>
    </w:tbl>
    <w:p>
      <w:pPr>
        <w:spacing w:line="500" w:lineRule="exact"/>
        <w:ind w:right="385" w:firstLine="464"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pacing w:val="-4"/>
          <w:sz w:val="24"/>
        </w:rPr>
        <w:t>注：</w:t>
      </w:r>
      <w:r>
        <w:rPr>
          <w:rFonts w:hint="eastAsia" w:ascii="仿宋_GB2312" w:hAnsi="仿宋_GB2312" w:eastAsia="仿宋_GB2312" w:cs="仿宋_GB2312"/>
          <w:color w:val="000000"/>
          <w:sz w:val="24"/>
        </w:rPr>
        <w:t>可另附清单</w:t>
      </w:r>
    </w:p>
    <w:p>
      <w:pPr>
        <w:spacing w:line="500" w:lineRule="exact"/>
        <w:ind w:right="385" w:firstLine="464" w:firstLineChars="200"/>
        <w:jc w:val="left"/>
        <w:rPr>
          <w:rFonts w:ascii="宋体" w:hAnsi="宋体" w:cs="宋体"/>
          <w:sz w:val="24"/>
          <w:u w:val="single"/>
        </w:rPr>
      </w:pPr>
      <w:r>
        <w:rPr>
          <w:rFonts w:hint="eastAsia" w:ascii="仿宋_GB2312" w:hAnsi="仿宋_GB2312" w:eastAsia="仿宋_GB2312" w:cs="仿宋_GB2312"/>
          <w:color w:val="000000"/>
          <w:spacing w:val="-4"/>
          <w:sz w:val="24"/>
        </w:rPr>
        <w:t>3、服务期限</w:t>
      </w:r>
      <w:r>
        <w:rPr>
          <w:rFonts w:hint="eastAsia" w:ascii="仿宋_GB2312" w:hAnsi="仿宋_GB2312" w:eastAsia="仿宋_GB2312" w:cs="仿宋_GB2312"/>
          <w:color w:val="000000" w:themeColor="text1"/>
          <w:spacing w:val="-4"/>
          <w:sz w:val="24"/>
        </w:rPr>
        <w:t>：</w:t>
      </w:r>
      <w:r>
        <w:rPr>
          <w:rFonts w:hint="eastAsia" w:ascii="仿宋_GB2312" w:hAnsi="仿宋_GB2312" w:eastAsia="仿宋_GB2312" w:cs="仿宋_GB2312"/>
          <w:color w:val="000000" w:themeColor="text1"/>
          <w:spacing w:val="-4"/>
          <w:sz w:val="24"/>
          <w:u w:val="single"/>
        </w:rPr>
        <w:t xml:space="preserve">    日历天</w:t>
      </w:r>
      <w:r>
        <w:rPr>
          <w:rFonts w:hint="eastAsia" w:ascii="宋体" w:hAnsi="宋体" w:cs="宋体"/>
          <w:sz w:val="24"/>
          <w:u w:val="single"/>
        </w:rPr>
        <w:t>　　　　　　　　　　　　　　　　　　</w:t>
      </w:r>
    </w:p>
    <w:p>
      <w:pPr>
        <w:spacing w:line="500" w:lineRule="exact"/>
        <w:ind w:right="385" w:firstLine="464"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4、交货安装时间、地点</w:t>
      </w:r>
    </w:p>
    <w:p>
      <w:pPr>
        <w:spacing w:line="500" w:lineRule="exact"/>
        <w:ind w:right="385" w:firstLine="480"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z w:val="24"/>
        </w:rPr>
        <w:t>（1）采购合同签订后天内全部交付并安装调试完毕。</w:t>
      </w:r>
    </w:p>
    <w:p>
      <w:pPr>
        <w:spacing w:line="500" w:lineRule="exact"/>
        <w:ind w:right="385" w:firstLine="480"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z w:val="24"/>
        </w:rPr>
        <w:t>（2）交货地点： 。</w:t>
      </w:r>
    </w:p>
    <w:p>
      <w:pPr>
        <w:spacing w:line="52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二、质量技术标准</w:t>
      </w:r>
    </w:p>
    <w:p>
      <w:pPr>
        <w:spacing w:line="52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乙方提供的产品性能及质量有国家标准的应符合国家标准。无国家标准的应符合行业标准或企业标准，并满足磋商文件要求，实现响应文件承诺条款。</w:t>
      </w:r>
    </w:p>
    <w:p>
      <w:pPr>
        <w:spacing w:line="52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乙方应保证所提供货物涉及到的知识产权是合法取得，并享有完整的知识产权，不会因为甲方的使用而被责令停止使用、追偿或要求赔偿损失。如出现此情况，一切经济和法律责任均由乙方承担。</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三、运输方式及费用</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由乙方视情况自定运输方式，费用由乙方负责。</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四、验收</w:t>
      </w:r>
    </w:p>
    <w:p>
      <w:pPr>
        <w:spacing w:line="44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kern w:val="0"/>
          <w:sz w:val="24"/>
        </w:rPr>
        <w:t>按磋商文件所规定的服务标准和乙方投标文件的承诺。货物最终验收后，乙方应对由于设计、工艺或材料的缺陷而发生的任何不足或故障负责，并承担由此引起的一切责任。</w:t>
      </w:r>
    </w:p>
    <w:p>
      <w:pPr>
        <w:spacing w:line="44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2、本项目甲方采用自行验收方式（  ）；联合验收方式（  ）。</w:t>
      </w:r>
    </w:p>
    <w:p>
      <w:pPr>
        <w:spacing w:line="44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五、付款方式</w:t>
      </w:r>
    </w:p>
    <w:p>
      <w:pPr>
        <w:widowControl/>
        <w:snapToGrid w:val="0"/>
        <w:spacing w:before="19" w:line="440" w:lineRule="exact"/>
        <w:ind w:firstLine="470" w:firstLineChars="196"/>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1、调试完成且项目竣工验收合格后，付至合同价的</w:t>
      </w:r>
      <w:r>
        <w:rPr>
          <w:rFonts w:hint="eastAsia" w:ascii="仿宋_GB2312" w:hAnsi="仿宋_GB2312" w:eastAsia="仿宋_GB2312" w:cs="仿宋_GB2312"/>
          <w:color w:val="000000"/>
          <w:sz w:val="24"/>
          <w:u w:val="single"/>
        </w:rPr>
        <w:t>70</w:t>
      </w:r>
      <w:r>
        <w:rPr>
          <w:rFonts w:hint="eastAsia" w:ascii="仿宋_GB2312" w:hAnsi="仿宋_GB2312" w:eastAsia="仿宋_GB2312" w:cs="仿宋_GB2312"/>
          <w:color w:val="000000"/>
          <w:sz w:val="24"/>
        </w:rPr>
        <w:t xml:space="preserve"> %。</w:t>
      </w:r>
    </w:p>
    <w:p>
      <w:pPr>
        <w:widowControl/>
        <w:snapToGrid w:val="0"/>
        <w:spacing w:before="19" w:line="440" w:lineRule="exact"/>
        <w:ind w:firstLine="470" w:firstLineChars="196"/>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2、结算审计完成后，付至合同价</w:t>
      </w:r>
      <w:r>
        <w:rPr>
          <w:rFonts w:hint="eastAsia" w:ascii="仿宋_GB2312" w:hAnsi="仿宋_GB2312" w:eastAsia="仿宋_GB2312" w:cs="仿宋_GB2312"/>
          <w:color w:val="000000"/>
          <w:sz w:val="24"/>
          <w:u w:val="single"/>
        </w:rPr>
        <w:t>90</w:t>
      </w:r>
      <w:r>
        <w:rPr>
          <w:rFonts w:hint="eastAsia" w:ascii="仿宋_GB2312" w:hAnsi="仿宋_GB2312" w:eastAsia="仿宋_GB2312" w:cs="仿宋_GB2312"/>
          <w:color w:val="000000"/>
          <w:sz w:val="24"/>
        </w:rPr>
        <w:t>%。</w:t>
      </w:r>
    </w:p>
    <w:p>
      <w:pPr>
        <w:widowControl/>
        <w:snapToGrid w:val="0"/>
        <w:spacing w:before="19" w:line="440" w:lineRule="exact"/>
        <w:ind w:firstLine="470" w:firstLineChars="196"/>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3、质保期满且无质量及售后服务问题，一次性无息付清余款。</w:t>
      </w:r>
    </w:p>
    <w:p>
      <w:pPr>
        <w:spacing w:line="440" w:lineRule="exact"/>
        <w:ind w:right="-73" w:firstLine="472" w:firstLineChars="196"/>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六、售后服务</w:t>
      </w:r>
    </w:p>
    <w:p>
      <w:pPr>
        <w:spacing w:line="440" w:lineRule="exact"/>
        <w:ind w:right="-73" w:firstLine="470" w:firstLineChars="196"/>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1、验收通过之日起对设备免费保修</w:t>
      </w:r>
      <w:r>
        <w:rPr>
          <w:rFonts w:hint="eastAsia" w:ascii="仿宋_GB2312" w:hAnsi="仿宋_GB2312" w:eastAsia="仿宋_GB2312" w:cs="仿宋_GB2312"/>
          <w:color w:val="000000"/>
          <w:sz w:val="24"/>
          <w:u w:val="single"/>
        </w:rPr>
        <w:t>2</w:t>
      </w:r>
      <w:r>
        <w:rPr>
          <w:rFonts w:hint="eastAsia" w:ascii="仿宋_GB2312" w:hAnsi="仿宋_GB2312" w:eastAsia="仿宋_GB2312" w:cs="仿宋_GB2312"/>
          <w:color w:val="000000"/>
          <w:sz w:val="24"/>
        </w:rPr>
        <w:t>年。质保期内，乙方对产品质量实行三包，因设备配置或制造质量问题而引起的故障，乙方应在24小时内立即予以免费维修或更换，由此引起的一切费用由乙方承担。</w:t>
      </w:r>
    </w:p>
    <w:p>
      <w:pPr>
        <w:spacing w:line="440" w:lineRule="exact"/>
        <w:ind w:right="-73" w:firstLine="470" w:firstLineChars="196"/>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2、技术支持响应时间。一般问题2小时内电话支持，难点、重点问题天内现场解决，质保期内相关费用由乙方承担，质保期满后乙方收取成本费。</w:t>
      </w:r>
    </w:p>
    <w:p>
      <w:pPr>
        <w:spacing w:line="440" w:lineRule="exact"/>
        <w:ind w:right="-73" w:firstLine="472" w:firstLineChars="196"/>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七、履约保证金</w:t>
      </w:r>
    </w:p>
    <w:p>
      <w:pPr>
        <w:spacing w:line="440" w:lineRule="exact"/>
        <w:ind w:firstLine="494" w:firstLineChars="206"/>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履约保证金为签约合同价的5%。</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八、违约条款</w:t>
      </w:r>
    </w:p>
    <w:p>
      <w:pPr>
        <w:spacing w:line="440" w:lineRule="exact"/>
        <w:ind w:firstLine="480" w:firstLineChars="200"/>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1、乙方不按期完成合同约定的内容，应向甲方支付违约金，除甲方或不可抗力造成原因外，每延迟交付一天，按合同总价款的</w:t>
      </w:r>
      <w:r>
        <w:rPr>
          <w:rFonts w:hint="eastAsia" w:ascii="仿宋_GB2312" w:hAnsi="仿宋_GB2312" w:eastAsia="仿宋_GB2312" w:cs="仿宋_GB2312"/>
          <w:color w:val="000000"/>
          <w:sz w:val="24"/>
          <w:u w:val="single"/>
        </w:rPr>
        <w:t>1</w:t>
      </w:r>
      <w:r>
        <w:rPr>
          <w:rFonts w:hint="eastAsia" w:ascii="仿宋_GB2312" w:hAnsi="仿宋_GB2312" w:eastAsia="仿宋_GB2312" w:cs="仿宋_GB2312"/>
          <w:color w:val="000000"/>
          <w:sz w:val="24"/>
        </w:rPr>
        <w:t>%支付违约金; 延期超过</w:t>
      </w:r>
      <w:r>
        <w:rPr>
          <w:rFonts w:hint="eastAsia" w:ascii="仿宋_GB2312" w:hAnsi="仿宋_GB2312" w:eastAsia="仿宋_GB2312" w:cs="仿宋_GB2312"/>
          <w:color w:val="000000"/>
          <w:sz w:val="24"/>
          <w:u w:val="single"/>
        </w:rPr>
        <w:t>10</w:t>
      </w:r>
      <w:r>
        <w:rPr>
          <w:rFonts w:hint="eastAsia" w:ascii="仿宋_GB2312" w:hAnsi="仿宋_GB2312" w:eastAsia="仿宋_GB2312" w:cs="仿宋_GB2312"/>
          <w:color w:val="000000"/>
          <w:sz w:val="24"/>
        </w:rPr>
        <w:t xml:space="preserve">日，甲方有权强制解除合同，履约保证金不予退还。               </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2、乙方所供产品品种、型号、规格、花色、质量等不符合规定的，由其负责包换或包修，并承担修理、调换或退货而支付的实际费用。 </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3、非因甲方原因，乙方不履行本合同规定的义务，致使工作延误，甲方有权要求其强制履行或解除合同，并要求乙方等额赔偿由此造成的一切损失。</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4、本项目不得转让分包，如有发生，除没收其履约保证金外，无条件清理退场，所造成的一切损失由乙方负责。</w:t>
      </w:r>
    </w:p>
    <w:p>
      <w:pPr>
        <w:spacing w:line="440" w:lineRule="exact"/>
        <w:ind w:right="385" w:firstLine="508" w:firstLineChars="219"/>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5、甲、乙双方的任何一方由于不可抗力因素不能履约，应及时向对方通报，在取得有关主管部门证明以后，允许延期履行或不履行合同，并根据情况部分或全部免予承担违约责任。</w:t>
      </w:r>
    </w:p>
    <w:p>
      <w:pPr>
        <w:spacing w:line="440" w:lineRule="exact"/>
        <w:ind w:right="385" w:firstLine="508" w:firstLineChars="219"/>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6、如乙方有欺诈行为或隐瞒自身违规问题，甲方有权中止合同，并保留依照相关法律、法规追究其法律责任的权利。</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九、知识产权</w:t>
      </w:r>
    </w:p>
    <w:p>
      <w:pPr>
        <w:pStyle w:val="33"/>
        <w:spacing w:line="440" w:lineRule="exact"/>
        <w:ind w:firstLine="480"/>
        <w:rPr>
          <w:rFonts w:hAnsi="仿宋_GB2312" w:cs="仿宋_GB2312"/>
          <w:color w:val="000000"/>
          <w:sz w:val="24"/>
          <w:szCs w:val="24"/>
        </w:rPr>
      </w:pPr>
      <w:r>
        <w:rPr>
          <w:rFonts w:hint="eastAsia" w:hAnsi="仿宋_GB2312" w:cs="仿宋_GB2312"/>
          <w:color w:val="000000"/>
          <w:sz w:val="24"/>
          <w:szCs w:val="24"/>
        </w:rPr>
        <w:t>乙方应保证甲方免除并承担由于甲方在其本国使用该项目和设计或其任何一部分时而引起第三方提出的侵犯专利权、商标权或工业设计权的起诉、行动、行政程序索赔、请求等以及甲方为此而产生的损失和损害、费用和支出，包括但不限于律师费等。</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十、合同生效及审核</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本合同经甲方、乙方、见证方签字盖章后生效，合同签订的内容不能超出磋商文件文件和磋商响应文件的实质性内容。</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十一、合同的组成部分</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本合同条款、成交通知书、磋商文件、磋商响应文件及乙方在磋商时的书面承诺等构成合同的组成部分。 </w:t>
      </w:r>
    </w:p>
    <w:p>
      <w:pPr>
        <w:spacing w:line="44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十二</w:t>
      </w:r>
      <w:r>
        <w:rPr>
          <w:rFonts w:hint="eastAsia" w:ascii="仿宋_GB2312" w:hAnsi="仿宋_GB2312" w:eastAsia="仿宋_GB2312" w:cs="仿宋_GB2312"/>
          <w:color w:val="000000"/>
          <w:sz w:val="24"/>
        </w:rPr>
        <w:t>、本合同一式四份，甲方、乙方各执一份，采购代理机构、兴化市政务服务管理办公室各一份。</w:t>
      </w:r>
    </w:p>
    <w:p>
      <w:pPr>
        <w:spacing w:line="44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十三、</w:t>
      </w:r>
      <w:r>
        <w:rPr>
          <w:rFonts w:hint="eastAsia" w:ascii="仿宋_GB2312" w:hAnsi="仿宋_GB2312" w:eastAsia="仿宋_GB2312" w:cs="仿宋_GB2312"/>
          <w:color w:val="000000"/>
          <w:sz w:val="24"/>
        </w:rPr>
        <w:t>本合同一切未尽事宜，按合同法有关规定执行;无相关规定的，由甲乙双方协商解决。</w:t>
      </w:r>
    </w:p>
    <w:p>
      <w:pPr>
        <w:spacing w:line="500" w:lineRule="exact"/>
        <w:ind w:right="386"/>
        <w:rPr>
          <w:rFonts w:ascii="仿宋_GB2312" w:hAnsi="仿宋_GB2312" w:eastAsia="仿宋_GB2312" w:cs="仿宋_GB2312"/>
          <w:color w:val="000000"/>
          <w:spacing w:val="-4"/>
          <w:sz w:val="24"/>
        </w:rPr>
      </w:pPr>
    </w:p>
    <w:p>
      <w:pPr>
        <w:spacing w:line="500" w:lineRule="exact"/>
        <w:ind w:right="386"/>
        <w:rPr>
          <w:rFonts w:ascii="仿宋_GB2312" w:hAnsi="仿宋_GB2312" w:eastAsia="仿宋_GB2312" w:cs="仿宋_GB2312"/>
          <w:color w:val="000000"/>
          <w:spacing w:val="-4"/>
          <w:sz w:val="24"/>
        </w:rPr>
      </w:pPr>
    </w:p>
    <w:p>
      <w:pPr>
        <w:spacing w:line="500" w:lineRule="exact"/>
        <w:ind w:right="386"/>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 xml:space="preserve">买方(甲方) 公章：                          卖方(乙方) 公章：               </w:t>
      </w:r>
    </w:p>
    <w:p>
      <w:pPr>
        <w:spacing w:line="500" w:lineRule="exact"/>
        <w:ind w:right="386"/>
        <w:rPr>
          <w:rFonts w:ascii="仿宋_GB2312" w:hAnsi="仿宋_GB2312" w:eastAsia="仿宋_GB2312" w:cs="仿宋_GB2312"/>
          <w:color w:val="000000"/>
          <w:spacing w:val="-4"/>
          <w:sz w:val="24"/>
        </w:rPr>
      </w:pPr>
    </w:p>
    <w:p>
      <w:pPr>
        <w:spacing w:line="500" w:lineRule="exact"/>
        <w:ind w:right="386"/>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法定代表人签名：</w:t>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 xml:space="preserve">                法定代表人签名:     </w:t>
      </w:r>
    </w:p>
    <w:p>
      <w:pPr>
        <w:spacing w:line="500" w:lineRule="exact"/>
        <w:ind w:left="6264" w:right="386" w:hanging="6264" w:hangingChars="2700"/>
        <w:rPr>
          <w:rFonts w:ascii="仿宋_GB2312" w:hAnsi="仿宋_GB2312" w:eastAsia="仿宋_GB2312" w:cs="仿宋_GB2312"/>
          <w:color w:val="000000"/>
          <w:spacing w:val="-4"/>
          <w:sz w:val="24"/>
        </w:rPr>
      </w:pPr>
    </w:p>
    <w:p>
      <w:pPr>
        <w:spacing w:line="500" w:lineRule="exact"/>
        <w:ind w:left="6264" w:right="386" w:hanging="6264" w:hangingChars="2700"/>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 xml:space="preserve">见证方（公章）：   </w:t>
      </w:r>
    </w:p>
    <w:p>
      <w:pPr>
        <w:spacing w:line="500" w:lineRule="exact"/>
        <w:ind w:left="6264" w:right="386" w:hanging="6264" w:hangingChars="2700"/>
        <w:rPr>
          <w:rFonts w:ascii="仿宋_GB2312" w:hAnsi="仿宋_GB2312" w:eastAsia="仿宋_GB2312" w:cs="仿宋_GB2312"/>
          <w:color w:val="000000"/>
          <w:spacing w:val="-4"/>
          <w:sz w:val="24"/>
        </w:rPr>
      </w:pPr>
    </w:p>
    <w:p>
      <w:pPr>
        <w:spacing w:line="500" w:lineRule="exact"/>
        <w:ind w:left="6264" w:right="386" w:hanging="6264" w:hangingChars="2700"/>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项目负责人签名：</w:t>
      </w:r>
    </w:p>
    <w:p>
      <w:pPr>
        <w:spacing w:line="500" w:lineRule="exact"/>
        <w:ind w:right="386"/>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签约地点：</w:t>
      </w:r>
    </w:p>
    <w:p>
      <w:pPr>
        <w:spacing w:line="360" w:lineRule="auto"/>
        <w:ind w:right="560" w:firstLine="3549" w:firstLineChars="1479"/>
        <w:jc w:val="center"/>
        <w:rPr>
          <w:rFonts w:ascii="楷体" w:hAnsi="楷体" w:eastAsia="楷体"/>
          <w:b/>
          <w:bCs/>
          <w:sz w:val="28"/>
        </w:rPr>
      </w:pPr>
      <w:r>
        <w:rPr>
          <w:rFonts w:hint="eastAsia" w:ascii="仿宋_GB2312" w:hAnsi="仿宋_GB2312" w:eastAsia="仿宋_GB2312" w:cs="仿宋_GB2312"/>
          <w:color w:val="000000"/>
          <w:sz w:val="24"/>
        </w:rPr>
        <w:t>年   月   日</w:t>
      </w:r>
    </w:p>
    <w:p>
      <w:pPr>
        <w:spacing w:line="360" w:lineRule="auto"/>
        <w:ind w:right="560"/>
        <w:jc w:val="center"/>
        <w:rPr>
          <w:rFonts w:ascii="楷体" w:hAnsi="楷体" w:eastAsia="楷体"/>
          <w:b/>
          <w:sz w:val="36"/>
        </w:rPr>
      </w:pPr>
      <w:r>
        <w:rPr>
          <w:rFonts w:ascii="楷体" w:hAnsi="楷体" w:eastAsia="楷体"/>
          <w:b/>
          <w:bCs/>
          <w:sz w:val="28"/>
        </w:rPr>
        <w:br w:type="page"/>
      </w:r>
      <w:r>
        <w:rPr>
          <w:rFonts w:hint="eastAsia" w:ascii="楷体" w:hAnsi="楷体" w:eastAsia="楷体"/>
          <w:b/>
          <w:sz w:val="36"/>
        </w:rPr>
        <w:t xml:space="preserve">第四部分  </w:t>
      </w:r>
      <w:bookmarkStart w:id="38" w:name="_Toc255807374"/>
      <w:bookmarkStart w:id="39" w:name="_Toc255729178"/>
      <w:bookmarkStart w:id="40" w:name="_Toc290628789"/>
      <w:bookmarkStart w:id="41" w:name="_Toc290626590"/>
      <w:bookmarkStart w:id="42" w:name="_Toc290628434"/>
      <w:bookmarkStart w:id="43" w:name="_Toc290036614"/>
      <w:bookmarkStart w:id="44" w:name="_Toc172001794"/>
      <w:bookmarkStart w:id="45" w:name="_Toc20821548"/>
      <w:bookmarkStart w:id="46" w:name="_Toc76955304"/>
      <w:bookmarkStart w:id="47" w:name="_Toc101264857"/>
      <w:bookmarkStart w:id="48" w:name="_Toc98669731"/>
      <w:bookmarkStart w:id="49" w:name="_Toc98669373"/>
      <w:r>
        <w:rPr>
          <w:rFonts w:hint="eastAsia" w:ascii="楷体" w:hAnsi="楷体" w:eastAsia="楷体"/>
          <w:b/>
          <w:sz w:val="36"/>
        </w:rPr>
        <w:t>项目需求和有关说明</w:t>
      </w:r>
    </w:p>
    <w:p>
      <w:pPr>
        <w:pStyle w:val="167"/>
        <w:numPr>
          <w:ilvl w:val="0"/>
          <w:numId w:val="8"/>
        </w:numPr>
        <w:ind w:firstLineChars="0"/>
        <w:rPr>
          <w:b/>
          <w:bCs/>
          <w:sz w:val="24"/>
        </w:rPr>
      </w:pPr>
      <w:r>
        <w:rPr>
          <w:rFonts w:hint="eastAsia"/>
          <w:b/>
          <w:bCs/>
          <w:sz w:val="24"/>
        </w:rPr>
        <w:t>项目概况</w:t>
      </w:r>
    </w:p>
    <w:p>
      <w:pPr>
        <w:spacing w:line="320" w:lineRule="exact"/>
        <w:ind w:firstLine="480" w:firstLineChars="200"/>
        <w:rPr>
          <w:rFonts w:ascii="宋体" w:hAnsi="宋体" w:cs="宋体"/>
          <w:sz w:val="24"/>
        </w:rPr>
      </w:pPr>
      <w:r>
        <w:rPr>
          <w:rFonts w:hint="eastAsia" w:ascii="宋体" w:hAnsi="宋体" w:cs="宋体"/>
          <w:sz w:val="24"/>
        </w:rPr>
        <w:t>金地格林及景阳广场水环境治理工程污水处理设备采购及安装，对当地水体建设和生态环境有长远意义。其出水标准至少为《城镇污水处理厂污染物排放标准》（G</w:t>
      </w:r>
      <w:r>
        <w:rPr>
          <w:rFonts w:ascii="宋体" w:hAnsi="宋体" w:cs="宋体"/>
          <w:sz w:val="24"/>
        </w:rPr>
        <w:t>B18918</w:t>
      </w:r>
      <w:r>
        <w:rPr>
          <w:rFonts w:hint="eastAsia" w:ascii="宋体" w:hAnsi="宋体" w:cs="宋体"/>
          <w:sz w:val="24"/>
        </w:rPr>
        <w:t>-</w:t>
      </w:r>
      <w:r>
        <w:rPr>
          <w:rFonts w:ascii="宋体" w:hAnsi="宋体" w:cs="宋体"/>
          <w:sz w:val="24"/>
        </w:rPr>
        <w:t>2002</w:t>
      </w:r>
      <w:r>
        <w:rPr>
          <w:rFonts w:hint="eastAsia" w:ascii="宋体" w:hAnsi="宋体" w:cs="宋体"/>
          <w:sz w:val="24"/>
        </w:rPr>
        <w:t>）一级A标准。进水均为生活类污水，生活污水是水体的主要污染源之一，主要是粪便和洗涤污水。污中含有大量</w:t>
      </w:r>
      <w:r>
        <w:fldChar w:fldCharType="begin"/>
      </w:r>
      <w:r>
        <w:instrText xml:space="preserve"> HYPERLINK "http://baike.baidu.com/view/14997.htm" \t "_blank" </w:instrText>
      </w:r>
      <w:r>
        <w:fldChar w:fldCharType="separate"/>
      </w:r>
      <w:r>
        <w:rPr>
          <w:rFonts w:hint="eastAsia" w:ascii="宋体" w:hAnsi="宋体" w:cs="宋体"/>
          <w:sz w:val="24"/>
        </w:rPr>
        <w:t>有机物</w:t>
      </w:r>
      <w:r>
        <w:rPr>
          <w:rFonts w:hint="eastAsia" w:ascii="宋体" w:hAnsi="宋体" w:cs="宋体"/>
          <w:sz w:val="24"/>
        </w:rPr>
        <w:fldChar w:fldCharType="end"/>
      </w:r>
      <w:r>
        <w:rPr>
          <w:rFonts w:hint="eastAsia" w:ascii="宋体" w:hAnsi="宋体" w:cs="宋体"/>
          <w:sz w:val="24"/>
        </w:rPr>
        <w:t>，如纤维素、淀粉、糖类和</w:t>
      </w:r>
      <w:r>
        <w:fldChar w:fldCharType="begin"/>
      </w:r>
      <w:r>
        <w:instrText xml:space="preserve"> HYPERLINK "http://baike.baidu.com/view/16.htm" \t "_blank" </w:instrText>
      </w:r>
      <w:r>
        <w:fldChar w:fldCharType="separate"/>
      </w:r>
      <w:r>
        <w:rPr>
          <w:rFonts w:hint="eastAsia" w:ascii="宋体" w:hAnsi="宋体" w:cs="宋体"/>
          <w:sz w:val="24"/>
        </w:rPr>
        <w:t>脂肪</w:t>
      </w:r>
      <w:r>
        <w:rPr>
          <w:rFonts w:hint="eastAsia" w:ascii="宋体" w:hAnsi="宋体" w:cs="宋体"/>
          <w:sz w:val="24"/>
        </w:rPr>
        <w:fldChar w:fldCharType="end"/>
      </w:r>
      <w:r>
        <w:rPr>
          <w:rFonts w:hint="eastAsia" w:ascii="宋体" w:hAnsi="宋体" w:cs="宋体"/>
          <w:sz w:val="24"/>
        </w:rPr>
        <w:t>蛋白质等；也常含有病原菌、</w:t>
      </w:r>
      <w:r>
        <w:fldChar w:fldCharType="begin"/>
      </w:r>
      <w:r>
        <w:instrText xml:space="preserve"> HYPERLINK "http://baike.baidu.com/view/2584.htm" \t "_blank" </w:instrText>
      </w:r>
      <w:r>
        <w:fldChar w:fldCharType="separate"/>
      </w:r>
      <w:r>
        <w:rPr>
          <w:rFonts w:hint="eastAsia" w:ascii="宋体" w:hAnsi="宋体" w:cs="宋体"/>
          <w:sz w:val="24"/>
        </w:rPr>
        <w:t>病毒</w:t>
      </w:r>
      <w:r>
        <w:rPr>
          <w:rFonts w:hint="eastAsia" w:ascii="宋体" w:hAnsi="宋体" w:cs="宋体"/>
          <w:sz w:val="24"/>
        </w:rPr>
        <w:fldChar w:fldCharType="end"/>
      </w:r>
      <w:r>
        <w:rPr>
          <w:rFonts w:hint="eastAsia" w:ascii="宋体" w:hAnsi="宋体" w:cs="宋体"/>
          <w:sz w:val="24"/>
        </w:rPr>
        <w:t>和寄生虫卵。如果不经过妥善处理而直接排放，将会对当地生态环境造成严重危害。</w:t>
      </w:r>
    </w:p>
    <w:p>
      <w:pPr>
        <w:spacing w:line="400" w:lineRule="exact"/>
        <w:rPr>
          <w:rFonts w:ascii="宋体" w:hAnsi="宋体" w:cs="宋体"/>
          <w:sz w:val="24"/>
        </w:rPr>
      </w:pPr>
      <w:r>
        <w:rPr>
          <w:rFonts w:hint="eastAsia" w:ascii="宋体" w:hAnsi="宋体" w:cs="宋体"/>
          <w:b/>
          <w:bCs/>
          <w:sz w:val="24"/>
        </w:rPr>
        <w:t>二、项目配置要求：污水处理站共计</w:t>
      </w:r>
      <w:r>
        <w:rPr>
          <w:rFonts w:ascii="宋体" w:hAnsi="宋体" w:cs="宋体"/>
          <w:b/>
          <w:bCs/>
          <w:sz w:val="24"/>
        </w:rPr>
        <w:t>2</w:t>
      </w:r>
      <w:r>
        <w:rPr>
          <w:rFonts w:hint="eastAsia" w:ascii="宋体" w:hAnsi="宋体" w:cs="宋体"/>
          <w:b/>
          <w:bCs/>
          <w:sz w:val="24"/>
        </w:rPr>
        <w:t>座，污水处理量为：</w:t>
      </w:r>
      <w:r>
        <w:rPr>
          <w:rFonts w:ascii="宋体" w:hAnsi="宋体" w:cs="宋体"/>
          <w:b/>
          <w:bCs/>
          <w:sz w:val="24"/>
        </w:rPr>
        <w:t>20</w:t>
      </w:r>
      <w:r>
        <w:rPr>
          <w:rFonts w:hint="eastAsia" w:ascii="宋体" w:hAnsi="宋体" w:cs="宋体"/>
          <w:b/>
          <w:bCs/>
          <w:sz w:val="24"/>
        </w:rPr>
        <w:t>0T/D。</w:t>
      </w:r>
    </w:p>
    <w:p>
      <w:pPr>
        <w:spacing w:line="400" w:lineRule="exact"/>
        <w:rPr>
          <w:color w:val="000000"/>
          <w:szCs w:val="20"/>
        </w:rPr>
      </w:pPr>
      <w:r>
        <w:rPr>
          <w:rFonts w:hint="eastAsia" w:ascii="宋体" w:hAnsi="宋体" w:cs="宋体"/>
          <w:b/>
          <w:sz w:val="24"/>
        </w:rPr>
        <w:t>（一）总体要求</w:t>
      </w:r>
    </w:p>
    <w:p>
      <w:pPr>
        <w:spacing w:line="400" w:lineRule="exact"/>
        <w:ind w:firstLine="480"/>
        <w:rPr>
          <w:rFonts w:ascii="宋体" w:hAnsi="宋体" w:cs="宋体"/>
          <w:sz w:val="24"/>
        </w:rPr>
      </w:pPr>
      <w:r>
        <w:rPr>
          <w:rFonts w:hint="eastAsia" w:ascii="宋体" w:hAnsi="宋体" w:cs="宋体"/>
          <w:sz w:val="24"/>
        </w:rPr>
        <w:t>1）出水标准为《城镇污水处理厂污染物排放标准》（GB18918-2002）类一级A标准。采用一体化污水处理设备+人工湿地的工艺进行处理。其工艺为A/0+MBR膜+人工湿地处理工艺。</w:t>
      </w:r>
    </w:p>
    <w:p>
      <w:pPr>
        <w:spacing w:line="400" w:lineRule="exact"/>
        <w:ind w:firstLine="480" w:firstLineChars="200"/>
        <w:rPr>
          <w:rFonts w:ascii="宋体" w:hAnsi="宋体" w:cs="宋体"/>
          <w:sz w:val="24"/>
        </w:rPr>
      </w:pPr>
      <w:r>
        <w:rPr>
          <w:rFonts w:hint="eastAsia" w:ascii="宋体" w:hAnsi="宋体" w:cs="宋体"/>
          <w:sz w:val="24"/>
        </w:rPr>
        <w:t>2）相关要求详见设备采购清单。</w:t>
      </w:r>
    </w:p>
    <w:p>
      <w:pPr>
        <w:spacing w:line="400" w:lineRule="exact"/>
        <w:rPr>
          <w:rFonts w:ascii="宋体" w:hAnsi="宋体" w:cs="宋体"/>
          <w:sz w:val="24"/>
        </w:rPr>
      </w:pPr>
      <w:r>
        <w:rPr>
          <w:rFonts w:hint="eastAsia" w:ascii="宋体" w:hAnsi="宋体" w:cs="宋体"/>
          <w:b/>
          <w:sz w:val="24"/>
        </w:rPr>
        <w:t>（二）技术性能参数要求</w:t>
      </w:r>
      <w:bookmarkStart w:id="50" w:name="_Toc381736205"/>
    </w:p>
    <w:p>
      <w:pPr>
        <w:spacing w:line="400" w:lineRule="exact"/>
        <w:ind w:firstLine="480"/>
        <w:rPr>
          <w:rFonts w:ascii="宋体" w:hAnsi="宋体" w:cs="宋体"/>
          <w:sz w:val="24"/>
        </w:rPr>
      </w:pPr>
      <w:r>
        <w:rPr>
          <w:rFonts w:hint="eastAsia" w:ascii="宋体" w:hAnsi="宋体" w:cs="宋体"/>
          <w:bCs/>
          <w:sz w:val="24"/>
          <w:szCs w:val="20"/>
        </w:rPr>
        <w:t>※</w:t>
      </w:r>
      <w:r>
        <w:rPr>
          <w:rFonts w:hint="eastAsia" w:ascii="宋体" w:hAnsi="宋体" w:cs="宋体"/>
          <w:sz w:val="24"/>
        </w:rPr>
        <w:t>进水标准</w:t>
      </w:r>
    </w:p>
    <w:p>
      <w:pPr>
        <w:spacing w:line="400" w:lineRule="exact"/>
        <w:ind w:firstLine="480"/>
        <w:rPr>
          <w:rFonts w:ascii="楷体" w:hAnsi="楷体" w:eastAsia="楷体" w:cs="楷体"/>
          <w:sz w:val="28"/>
          <w:szCs w:val="28"/>
        </w:rPr>
      </w:pPr>
      <w:r>
        <w:rPr>
          <w:rFonts w:hint="eastAsia" w:ascii="宋体" w:hAnsi="宋体" w:cs="宋体"/>
          <w:sz w:val="24"/>
        </w:rPr>
        <w:t>项目污水主要来源于农村生活污水，主要污染物是有机污染物，根据以往经验，具体指标预估如下：</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83"/>
        <w:gridCol w:w="1317"/>
        <w:gridCol w:w="1300"/>
        <w:gridCol w:w="1333"/>
        <w:gridCol w:w="141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项目</w:t>
            </w:r>
          </w:p>
        </w:tc>
        <w:tc>
          <w:tcPr>
            <w:tcW w:w="138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CODcr</w:t>
            </w:r>
          </w:p>
        </w:tc>
        <w:tc>
          <w:tcPr>
            <w:tcW w:w="13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BOD5</w:t>
            </w:r>
          </w:p>
        </w:tc>
        <w:tc>
          <w:tcPr>
            <w:tcW w:w="1300"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SS</w:t>
            </w:r>
          </w:p>
        </w:tc>
        <w:tc>
          <w:tcPr>
            <w:tcW w:w="133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PH</w:t>
            </w:r>
          </w:p>
        </w:tc>
        <w:tc>
          <w:tcPr>
            <w:tcW w:w="14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NH3-N</w:t>
            </w:r>
          </w:p>
        </w:tc>
        <w:tc>
          <w:tcPr>
            <w:tcW w:w="1231"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shd w:val="clear" w:color="auto" w:fill="FFFFFF"/>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单位</w:t>
            </w:r>
          </w:p>
        </w:tc>
        <w:tc>
          <w:tcPr>
            <w:tcW w:w="1383"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317"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300"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333" w:type="dxa"/>
            <w:vAlign w:val="center"/>
          </w:tcPr>
          <w:p>
            <w:pPr>
              <w:tabs>
                <w:tab w:val="left" w:pos="600"/>
              </w:tabs>
              <w:spacing w:line="360" w:lineRule="auto"/>
              <w:rPr>
                <w:rFonts w:ascii="楷体" w:hAnsi="楷体" w:eastAsia="楷体" w:cs="楷体"/>
                <w:sz w:val="28"/>
                <w:szCs w:val="28"/>
              </w:rPr>
            </w:pPr>
          </w:p>
        </w:tc>
        <w:tc>
          <w:tcPr>
            <w:tcW w:w="1417"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231"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进水水质</w:t>
            </w:r>
          </w:p>
        </w:tc>
        <w:tc>
          <w:tcPr>
            <w:tcW w:w="138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≤350</w:t>
            </w:r>
          </w:p>
        </w:tc>
        <w:tc>
          <w:tcPr>
            <w:tcW w:w="13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≤200</w:t>
            </w:r>
          </w:p>
        </w:tc>
        <w:tc>
          <w:tcPr>
            <w:tcW w:w="1300"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≤250</w:t>
            </w:r>
          </w:p>
        </w:tc>
        <w:tc>
          <w:tcPr>
            <w:tcW w:w="133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6-9</w:t>
            </w:r>
          </w:p>
        </w:tc>
        <w:tc>
          <w:tcPr>
            <w:tcW w:w="14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≤35</w:t>
            </w:r>
          </w:p>
        </w:tc>
        <w:tc>
          <w:tcPr>
            <w:tcW w:w="1231"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≤4</w:t>
            </w:r>
          </w:p>
        </w:tc>
      </w:tr>
    </w:tbl>
    <w:p>
      <w:pPr>
        <w:spacing w:line="400" w:lineRule="exact"/>
        <w:ind w:firstLine="480"/>
        <w:rPr>
          <w:rFonts w:ascii="宋体" w:hAnsi="宋体" w:cs="宋体"/>
          <w:sz w:val="24"/>
        </w:rPr>
      </w:pPr>
      <w:r>
        <w:rPr>
          <w:rFonts w:hint="eastAsia" w:ascii="宋体" w:hAnsi="宋体" w:cs="宋体"/>
          <w:bCs/>
          <w:sz w:val="24"/>
          <w:szCs w:val="20"/>
        </w:rPr>
        <w:t>※</w:t>
      </w:r>
      <w:r>
        <w:rPr>
          <w:rFonts w:hint="eastAsia" w:ascii="宋体" w:hAnsi="宋体" w:cs="宋体"/>
          <w:sz w:val="24"/>
        </w:rPr>
        <w:t>出水标准</w:t>
      </w:r>
    </w:p>
    <w:p>
      <w:pPr>
        <w:spacing w:line="400" w:lineRule="exact"/>
        <w:ind w:firstLine="480"/>
        <w:rPr>
          <w:rFonts w:ascii="宋体" w:hAnsi="宋体" w:cs="宋体"/>
          <w:sz w:val="24"/>
        </w:rPr>
      </w:pPr>
      <w:r>
        <w:rPr>
          <w:rFonts w:hint="eastAsia" w:ascii="宋体" w:hAnsi="宋体" w:cs="宋体"/>
          <w:sz w:val="24"/>
        </w:rPr>
        <w:t>1、出水水质稳定《城镇污水处理厂污染物排放标准》（G</w:t>
      </w:r>
      <w:r>
        <w:rPr>
          <w:rFonts w:ascii="宋体" w:hAnsi="宋体" w:cs="宋体"/>
          <w:sz w:val="24"/>
        </w:rPr>
        <w:t>B18918</w:t>
      </w:r>
      <w:r>
        <w:rPr>
          <w:rFonts w:hint="eastAsia" w:ascii="宋体" w:hAnsi="宋体" w:cs="宋体"/>
          <w:sz w:val="24"/>
        </w:rPr>
        <w:t>-</w:t>
      </w:r>
      <w:r>
        <w:rPr>
          <w:rFonts w:ascii="宋体" w:hAnsi="宋体" w:cs="宋体"/>
          <w:sz w:val="24"/>
        </w:rPr>
        <w:t>2002</w:t>
      </w:r>
      <w:r>
        <w:rPr>
          <w:rFonts w:hint="eastAsia" w:ascii="宋体" w:hAnsi="宋体" w:cs="宋体"/>
          <w:sz w:val="24"/>
        </w:rPr>
        <w:t>）一级A标准排放标准，具体指标如下：</w:t>
      </w:r>
    </w:p>
    <w:tbl>
      <w:tblPr>
        <w:tblStyle w:val="5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85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序号</w:t>
            </w:r>
          </w:p>
        </w:tc>
        <w:tc>
          <w:tcPr>
            <w:tcW w:w="3853"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控制项目</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hint="eastAsia" w:ascii="宋体" w:hAnsi="宋体" w:cs="宋体"/>
                <w:sz w:val="24"/>
              </w:rPr>
              <w:t>《城镇污水处理厂污染物排放标准》（G</w:t>
            </w:r>
            <w:r>
              <w:rPr>
                <w:rFonts w:ascii="宋体" w:hAnsi="宋体" w:cs="宋体"/>
                <w:sz w:val="24"/>
              </w:rPr>
              <w:t>B18918</w:t>
            </w:r>
            <w:r>
              <w:rPr>
                <w:rFonts w:hint="eastAsia" w:ascii="宋体" w:hAnsi="宋体" w:cs="宋体"/>
                <w:sz w:val="24"/>
              </w:rPr>
              <w:t>-</w:t>
            </w:r>
            <w:r>
              <w:rPr>
                <w:rFonts w:ascii="宋体" w:hAnsi="宋体" w:cs="宋体"/>
                <w:sz w:val="24"/>
              </w:rPr>
              <w:t>2002</w:t>
            </w:r>
            <w:r>
              <w:rPr>
                <w:rFonts w:hint="eastAsia" w:ascii="宋体" w:hAnsi="宋体" w:cs="宋体"/>
                <w:sz w:val="24"/>
              </w:rPr>
              <w:t>）一级A标准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1</w:t>
            </w:r>
          </w:p>
        </w:tc>
        <w:tc>
          <w:tcPr>
            <w:tcW w:w="3853"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化学需氧量（COD）mg/L</w:t>
            </w:r>
          </w:p>
        </w:tc>
        <w:tc>
          <w:tcPr>
            <w:tcW w:w="3686" w:type="dxa"/>
            <w:vAlign w:val="center"/>
          </w:tcPr>
          <w:p>
            <w:pPr>
              <w:tabs>
                <w:tab w:val="left" w:pos="600"/>
              </w:tabs>
              <w:spacing w:line="360" w:lineRule="auto"/>
              <w:jc w:val="center"/>
              <w:rPr>
                <w:rFonts w:ascii="楷体" w:hAnsi="楷体" w:eastAsia="楷体" w:cs="楷体"/>
                <w:sz w:val="28"/>
                <w:szCs w:val="28"/>
              </w:rPr>
            </w:pPr>
            <w:r>
              <w:rPr>
                <w:rFonts w:ascii="楷体" w:hAnsi="楷体" w:eastAsia="楷体" w:cs="楷体"/>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2</w:t>
            </w:r>
          </w:p>
        </w:tc>
        <w:tc>
          <w:tcPr>
            <w:tcW w:w="385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生化需氧量(BOD) mg/L</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hint="eastAsia" w:ascii="楷体" w:hAnsi="楷体" w:eastAsia="楷体" w:cs="楷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4</w:t>
            </w:r>
          </w:p>
        </w:tc>
        <w:tc>
          <w:tcPr>
            <w:tcW w:w="385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氨氮(以N计) mg/L</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ascii="楷体" w:hAnsi="楷体" w:eastAsia="楷体" w:cs="楷体"/>
                <w:sz w:val="28"/>
                <w:szCs w:val="28"/>
              </w:rPr>
              <w:t>5</w:t>
            </w:r>
            <w:r>
              <w:rPr>
                <w:rFonts w:hint="eastAsia" w:ascii="楷体" w:hAnsi="楷体" w:eastAsia="楷体" w:cs="楷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5</w:t>
            </w:r>
          </w:p>
        </w:tc>
        <w:tc>
          <w:tcPr>
            <w:tcW w:w="3853"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总磷mg/L</w:t>
            </w:r>
          </w:p>
        </w:tc>
        <w:tc>
          <w:tcPr>
            <w:tcW w:w="3686" w:type="dxa"/>
            <w:vAlign w:val="center"/>
          </w:tcPr>
          <w:p>
            <w:pPr>
              <w:tabs>
                <w:tab w:val="left" w:pos="600"/>
              </w:tabs>
              <w:spacing w:line="360" w:lineRule="auto"/>
              <w:jc w:val="center"/>
              <w:rPr>
                <w:rFonts w:ascii="楷体" w:hAnsi="楷体" w:eastAsia="楷体" w:cs="楷体"/>
                <w:sz w:val="28"/>
                <w:szCs w:val="28"/>
              </w:rPr>
            </w:pPr>
            <w:r>
              <w:rPr>
                <w:rFonts w:hint="eastAsia" w:ascii="楷体" w:hAnsi="楷体" w:eastAsia="楷体" w:cs="楷体"/>
                <w:sz w:val="28"/>
                <w:szCs w:val="28"/>
              </w:rPr>
              <w:t>0.</w:t>
            </w:r>
            <w:r>
              <w:rPr>
                <w:rFonts w:ascii="楷体" w:hAnsi="楷体" w:eastAsia="楷体" w:cs="楷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6</w:t>
            </w:r>
          </w:p>
        </w:tc>
        <w:tc>
          <w:tcPr>
            <w:tcW w:w="385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PH值</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hint="eastAsia" w:ascii="楷体" w:hAnsi="楷体" w:eastAsia="楷体" w:cs="楷体"/>
                <w:sz w:val="28"/>
                <w:szCs w:val="28"/>
              </w:rPr>
              <w:t>6～9</w:t>
            </w:r>
          </w:p>
        </w:tc>
      </w:tr>
    </w:tbl>
    <w:p>
      <w:pPr>
        <w:spacing w:line="400" w:lineRule="exact"/>
        <w:ind w:firstLine="241" w:firstLineChars="100"/>
        <w:rPr>
          <w:rFonts w:ascii="宋体" w:hAnsi="宋体" w:cs="宋体"/>
          <w:b/>
          <w:sz w:val="24"/>
        </w:rPr>
      </w:pPr>
      <w:r>
        <w:rPr>
          <w:rFonts w:hint="eastAsia" w:ascii="宋体" w:hAnsi="宋体" w:cs="宋体"/>
          <w:b/>
          <w:sz w:val="24"/>
        </w:rPr>
        <w:t>注：上述技术要求中打“</w:t>
      </w:r>
      <w:r>
        <w:rPr>
          <w:rFonts w:hint="eastAsia" w:ascii="宋体" w:hAnsi="宋体" w:cs="宋体"/>
          <w:bCs/>
          <w:sz w:val="24"/>
          <w:szCs w:val="20"/>
        </w:rPr>
        <w:t>※</w:t>
      </w:r>
      <w:r>
        <w:rPr>
          <w:rFonts w:hint="eastAsia" w:ascii="宋体" w:hAnsi="宋体" w:cs="宋体"/>
          <w:b/>
          <w:sz w:val="24"/>
        </w:rPr>
        <w:t>”的技术要求必须满足，否则按无效投标处理。</w:t>
      </w:r>
    </w:p>
    <w:p>
      <w:pPr>
        <w:spacing w:line="400" w:lineRule="exact"/>
        <w:rPr>
          <w:rFonts w:ascii="宋体" w:hAnsi="宋体" w:cs="宋体"/>
          <w:b/>
          <w:sz w:val="24"/>
        </w:rPr>
      </w:pPr>
      <w:r>
        <w:rPr>
          <w:rFonts w:hint="eastAsia" w:ascii="宋体" w:hAnsi="宋体" w:cs="宋体"/>
          <w:b/>
          <w:sz w:val="24"/>
        </w:rPr>
        <w:t>（三）、安装要求</w:t>
      </w:r>
      <w:bookmarkEnd w:id="50"/>
    </w:p>
    <w:p>
      <w:pPr>
        <w:spacing w:line="400" w:lineRule="exact"/>
        <w:ind w:firstLine="240" w:firstLineChars="100"/>
        <w:rPr>
          <w:rFonts w:ascii="宋体" w:hAnsi="宋体" w:cs="宋体"/>
          <w:sz w:val="24"/>
        </w:rPr>
      </w:pPr>
      <w:r>
        <w:rPr>
          <w:rFonts w:hint="eastAsia" w:ascii="宋体" w:hAnsi="宋体" w:cs="宋体"/>
          <w:sz w:val="24"/>
        </w:rPr>
        <w:t>1、投标人须自行到现场勘察，根据现场情况制定施工和安装方案，并一次作为投标计价依据。中标单位不得以不了解现场情况，未考虑有关费用为由，要求采购人增加相关费用。</w:t>
      </w:r>
    </w:p>
    <w:p>
      <w:pPr>
        <w:spacing w:line="400" w:lineRule="exact"/>
        <w:ind w:firstLine="240" w:firstLineChars="100"/>
        <w:rPr>
          <w:rFonts w:ascii="宋体" w:hAnsi="宋体" w:cs="宋体"/>
          <w:sz w:val="24"/>
        </w:rPr>
      </w:pPr>
      <w:r>
        <w:rPr>
          <w:rFonts w:hint="eastAsia" w:ascii="宋体" w:hAnsi="宋体" w:cs="宋体"/>
          <w:sz w:val="24"/>
        </w:rPr>
        <w:t>2、投标人必须对整个工程施工的安全负责。投标人负责其在工地及施工安装期间的一切人员的人身安全及一切保险，若发生任何安全事故，应由投标人承担全部赔偿责任。投标人应为由于承包商任何人员的伤亡所导致的损失和索赔保险，并能使采购单位依此保险得到保障而免除损失、索赔或诉讼。　　</w:t>
      </w:r>
    </w:p>
    <w:p>
      <w:pPr>
        <w:spacing w:line="400" w:lineRule="exact"/>
        <w:ind w:firstLine="240" w:firstLineChars="100"/>
        <w:rPr>
          <w:rFonts w:ascii="宋体" w:hAnsi="宋体" w:cs="宋体"/>
          <w:sz w:val="24"/>
        </w:rPr>
      </w:pPr>
      <w:r>
        <w:rPr>
          <w:rFonts w:hint="eastAsia" w:ascii="宋体" w:hAnsi="宋体" w:cs="宋体"/>
          <w:sz w:val="24"/>
        </w:rPr>
        <w:t>3、投标人必须派遣足够人数的、合格的工程师、技术人员和技术工人进行本项目工程的安装以确保工程按期、按质完成。</w:t>
      </w:r>
    </w:p>
    <w:p>
      <w:pPr>
        <w:tabs>
          <w:tab w:val="left" w:pos="1140"/>
        </w:tabs>
        <w:spacing w:line="400" w:lineRule="exact"/>
        <w:rPr>
          <w:rFonts w:ascii="宋体" w:hAnsi="宋体" w:cs="宋体"/>
          <w:sz w:val="24"/>
        </w:rPr>
      </w:pPr>
      <w:r>
        <w:rPr>
          <w:rFonts w:hint="eastAsia" w:ascii="宋体" w:hAnsi="宋体" w:cs="宋体"/>
          <w:b/>
          <w:sz w:val="24"/>
          <w:lang w:val="zh-CN"/>
        </w:rPr>
        <w:t>（四）</w:t>
      </w:r>
      <w:r>
        <w:rPr>
          <w:rFonts w:hint="eastAsia" w:ascii="宋体" w:hAnsi="宋体" w:cs="宋体"/>
          <w:b/>
          <w:sz w:val="24"/>
        </w:rPr>
        <w:t>、其它要求</w:t>
      </w:r>
      <w:r>
        <w:rPr>
          <w:rFonts w:hint="eastAsia" w:ascii="宋体" w:hAnsi="宋体" w:cs="宋体"/>
          <w:sz w:val="24"/>
        </w:rPr>
        <w:t>：</w:t>
      </w:r>
    </w:p>
    <w:p>
      <w:pPr>
        <w:spacing w:line="400" w:lineRule="exact"/>
        <w:rPr>
          <w:rFonts w:ascii="宋体" w:hAnsi="宋体" w:cs="宋体"/>
          <w:sz w:val="24"/>
        </w:rPr>
      </w:pPr>
      <w:bookmarkStart w:id="51" w:name="_Toc444180457"/>
      <w:r>
        <w:rPr>
          <w:rFonts w:hint="eastAsia" w:ascii="宋体" w:hAnsi="宋体" w:cs="宋体"/>
          <w:sz w:val="24"/>
        </w:rPr>
        <w:t>1、安装调试</w:t>
      </w:r>
    </w:p>
    <w:p>
      <w:pPr>
        <w:spacing w:line="400" w:lineRule="exact"/>
        <w:ind w:firstLine="240" w:firstLineChars="100"/>
        <w:rPr>
          <w:rFonts w:ascii="宋体" w:hAnsi="宋体" w:cs="宋体"/>
          <w:sz w:val="24"/>
        </w:rPr>
      </w:pPr>
      <w:r>
        <w:rPr>
          <w:rFonts w:hint="eastAsia" w:ascii="宋体" w:hAnsi="宋体" w:cs="宋体"/>
          <w:sz w:val="24"/>
        </w:rPr>
        <w:t>由中标人负责设备的现场安装和调试，按合同规定的时间、地点完成交货、组装、调试、验收完毕。在设备的搬运、安装、调试、试运行期间，中标人安装调试人员一切费用自理。</w:t>
      </w:r>
    </w:p>
    <w:p>
      <w:pPr>
        <w:spacing w:line="400" w:lineRule="exact"/>
        <w:rPr>
          <w:rFonts w:ascii="宋体" w:hAnsi="宋体" w:cs="宋体"/>
          <w:sz w:val="24"/>
        </w:rPr>
      </w:pPr>
      <w:r>
        <w:rPr>
          <w:rFonts w:hint="eastAsia" w:ascii="宋体" w:hAnsi="宋体" w:cs="宋体"/>
          <w:sz w:val="24"/>
        </w:rPr>
        <w:t>2、验收</w:t>
      </w:r>
    </w:p>
    <w:p>
      <w:pPr>
        <w:spacing w:line="400" w:lineRule="exact"/>
        <w:ind w:firstLine="240" w:firstLineChars="100"/>
        <w:rPr>
          <w:rFonts w:ascii="宋体" w:hAnsi="宋体" w:cs="宋体"/>
          <w:sz w:val="24"/>
        </w:rPr>
      </w:pPr>
      <w:r>
        <w:rPr>
          <w:rFonts w:hint="eastAsia" w:ascii="宋体" w:hAnsi="宋体" w:cs="宋体"/>
          <w:sz w:val="24"/>
        </w:rPr>
        <w:t>设备安装调试完成后实施系统试运行，中标人提供验收方案，方案须经采购方认可。此验收应证实已达到招标文件要求的整体性能，设备、装置运行正常。采购人项目整体验收符合要求后，双方签署项目整体验收合格证书。</w:t>
      </w:r>
    </w:p>
    <w:p>
      <w:pPr>
        <w:spacing w:line="400" w:lineRule="exact"/>
        <w:rPr>
          <w:rFonts w:ascii="宋体" w:hAnsi="宋体" w:cs="宋体"/>
          <w:sz w:val="24"/>
        </w:rPr>
      </w:pPr>
      <w:r>
        <w:rPr>
          <w:rFonts w:hint="eastAsia" w:ascii="宋体" w:hAnsi="宋体" w:cs="宋体"/>
          <w:sz w:val="24"/>
        </w:rPr>
        <w:t>3、免费培训</w:t>
      </w:r>
    </w:p>
    <w:p>
      <w:pPr>
        <w:spacing w:line="400" w:lineRule="exact"/>
        <w:ind w:firstLine="240" w:firstLineChars="100"/>
        <w:rPr>
          <w:rFonts w:ascii="宋体" w:hAnsi="宋体" w:cs="宋体"/>
          <w:sz w:val="24"/>
        </w:rPr>
      </w:pPr>
      <w:r>
        <w:rPr>
          <w:rFonts w:hint="eastAsia" w:ascii="宋体" w:hAnsi="宋体" w:cs="宋体"/>
          <w:sz w:val="24"/>
        </w:rPr>
        <w:t>3.1现场培训：中标人在设备的组装、调试、验收完毕后即进行现场培训直至采购人基本掌握使用操作、维护保养技术，保证运营单位可以独立操作设备运营。</w:t>
      </w:r>
    </w:p>
    <w:p>
      <w:pPr>
        <w:spacing w:line="400" w:lineRule="exact"/>
        <w:ind w:firstLine="240" w:firstLineChars="100"/>
        <w:rPr>
          <w:rFonts w:ascii="宋体" w:hAnsi="宋体" w:cs="宋体"/>
          <w:sz w:val="24"/>
        </w:rPr>
      </w:pPr>
      <w:r>
        <w:rPr>
          <w:rFonts w:hint="eastAsia" w:ascii="宋体" w:hAnsi="宋体" w:cs="宋体"/>
          <w:sz w:val="24"/>
        </w:rPr>
        <w:t>3.2 专门培训：中标人就设备的组装、检验、调试、使用和维护等培训采购人的技术人员，直到采购人受训人员全部掌握运行操作、维护保养技术，并能达到正确检修、维护、排除一般故障为止。</w:t>
      </w:r>
    </w:p>
    <w:p>
      <w:pPr>
        <w:spacing w:line="400" w:lineRule="exact"/>
        <w:ind w:firstLine="240" w:firstLineChars="100"/>
        <w:rPr>
          <w:rFonts w:ascii="宋体" w:hAnsi="宋体" w:cs="宋体"/>
          <w:sz w:val="24"/>
        </w:rPr>
      </w:pPr>
      <w:r>
        <w:rPr>
          <w:rFonts w:hint="eastAsia" w:ascii="宋体" w:hAnsi="宋体" w:cs="宋体"/>
          <w:sz w:val="24"/>
        </w:rPr>
        <w:t>3.3 培训方式：技术培训、操作培训。</w:t>
      </w:r>
    </w:p>
    <w:p>
      <w:pPr>
        <w:spacing w:line="400" w:lineRule="exact"/>
        <w:ind w:firstLine="240" w:firstLineChars="100"/>
        <w:rPr>
          <w:rFonts w:ascii="宋体" w:hAnsi="宋体" w:cs="宋体"/>
          <w:sz w:val="24"/>
        </w:rPr>
      </w:pPr>
      <w:r>
        <w:rPr>
          <w:rFonts w:hint="eastAsia" w:ascii="宋体" w:hAnsi="宋体" w:cs="宋体"/>
          <w:sz w:val="24"/>
        </w:rPr>
        <w:t>3.4 培训人员、地点和时间：受训人员由采购人确定，培训地点和时间由双方商定。</w:t>
      </w:r>
    </w:p>
    <w:bookmarkEnd w:id="51"/>
    <w:p>
      <w:pPr>
        <w:rPr>
          <w:b/>
          <w:bCs/>
          <w:sz w:val="24"/>
        </w:rPr>
      </w:pPr>
      <w:r>
        <w:rPr>
          <w:rFonts w:hint="eastAsia"/>
          <w:b/>
          <w:bCs/>
          <w:sz w:val="24"/>
        </w:rPr>
        <w:t>（五）</w:t>
      </w:r>
      <w:r>
        <w:rPr>
          <w:b/>
          <w:bCs/>
          <w:sz w:val="24"/>
        </w:rPr>
        <w:t>.</w:t>
      </w:r>
      <w:r>
        <w:rPr>
          <w:rFonts w:hint="eastAsia"/>
          <w:b/>
          <w:bCs/>
          <w:sz w:val="24"/>
        </w:rPr>
        <w:t>设备采购清单</w:t>
      </w:r>
    </w:p>
    <w:p>
      <w:pPr>
        <w:pStyle w:val="3"/>
        <w:keepNext w:val="0"/>
        <w:spacing w:beforeLines="50" w:afterLines="50" w:line="240" w:lineRule="auto"/>
        <w:jc w:val="both"/>
        <w:rPr>
          <w:rFonts w:ascii="宋体" w:hAnsi="宋体" w:cs="宋体"/>
        </w:rPr>
      </w:pPr>
      <w:r>
        <w:rPr>
          <w:rFonts w:hint="eastAsia" w:ascii="宋体" w:hAnsi="宋体" w:eastAsia="宋体" w:cs="宋体"/>
          <w:sz w:val="28"/>
          <w:szCs w:val="32"/>
        </w:rPr>
        <w:t>一体化MBR设备主要配置清单</w:t>
      </w:r>
    </w:p>
    <w:tbl>
      <w:tblPr>
        <w:tblStyle w:val="55"/>
        <w:tblW w:w="5548"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711"/>
        <w:gridCol w:w="4657"/>
        <w:gridCol w:w="876"/>
        <w:gridCol w:w="67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407" w:type="pct"/>
            <w:shd w:val="clear" w:color="auto" w:fill="auto"/>
            <w:noWrap/>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序号</w:t>
            </w:r>
          </w:p>
        </w:tc>
        <w:tc>
          <w:tcPr>
            <w:tcW w:w="1275" w:type="pct"/>
            <w:shd w:val="clear" w:color="auto" w:fill="auto"/>
            <w:noWrap/>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名称</w:t>
            </w:r>
          </w:p>
        </w:tc>
        <w:tc>
          <w:tcPr>
            <w:tcW w:w="2190"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规格和材质</w:t>
            </w:r>
          </w:p>
        </w:tc>
        <w:tc>
          <w:tcPr>
            <w:tcW w:w="412"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数量</w:t>
            </w:r>
          </w:p>
        </w:tc>
        <w:tc>
          <w:tcPr>
            <w:tcW w:w="316"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单位</w:t>
            </w:r>
          </w:p>
        </w:tc>
        <w:tc>
          <w:tcPr>
            <w:tcW w:w="400"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cs="宋体"/>
                <w:b/>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调节池提升泵</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N=0.75k</w:t>
            </w:r>
            <w:r>
              <w:rPr>
                <w:rFonts w:ascii="宋体" w:hAnsi="宋体" w:cs="宋体"/>
                <w:color w:val="000000" w:themeColor="text1"/>
                <w:kern w:val="0"/>
              </w:rPr>
              <w:t xml:space="preserve">W </w:t>
            </w:r>
            <w:r>
              <w:rPr>
                <w:rFonts w:hint="eastAsia" w:ascii="宋体" w:hAnsi="宋体" w:cs="宋体"/>
                <w:color w:val="000000" w:themeColor="text1"/>
                <w:kern w:val="0"/>
              </w:rPr>
              <w:t>铸铁</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MBR出水系统</w:t>
            </w:r>
          </w:p>
        </w:tc>
        <w:tc>
          <w:tcPr>
            <w:tcW w:w="2190" w:type="pct"/>
            <w:shd w:val="clear" w:color="auto" w:fill="auto"/>
            <w:vAlign w:val="center"/>
          </w:tcPr>
          <w:p>
            <w:pPr>
              <w:widowControl/>
              <w:jc w:val="center"/>
              <w:textAlignment w:val="center"/>
              <w:rPr>
                <w:color w:val="000000" w:themeColor="text1"/>
              </w:rPr>
            </w:pPr>
            <w:r>
              <w:rPr>
                <w:rFonts w:hint="eastAsia" w:ascii="宋体" w:hAnsi="宋体" w:cs="宋体"/>
                <w:color w:val="000000" w:themeColor="text1"/>
                <w:kern w:val="0"/>
              </w:rPr>
              <w:t>N=1.5k</w:t>
            </w:r>
            <w:r>
              <w:rPr>
                <w:rFonts w:ascii="宋体" w:hAnsi="宋体" w:cs="宋体"/>
                <w:color w:val="000000" w:themeColor="text1"/>
                <w:kern w:val="0"/>
              </w:rPr>
              <w:t>W</w:t>
            </w:r>
            <w:r>
              <w:rPr>
                <w:rFonts w:hint="eastAsia" w:ascii="宋体" w:hAnsi="宋体" w:cs="宋体"/>
                <w:color w:val="000000" w:themeColor="text1"/>
                <w:kern w:val="0"/>
              </w:rPr>
              <w:t>，</w:t>
            </w:r>
            <w:r>
              <w:rPr>
                <w:rFonts w:hint="eastAsia"/>
                <w:color w:val="000000" w:themeColor="text1"/>
              </w:rPr>
              <w:t>采用无需抽真空出水和恒流量变频出水专利技术，非标定制 不锈钢</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污泥回流与排放系统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N=1.1kW，包括回流泵和管阀控制系统 铸铁</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化学反洗系统泵</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包括加药储药箱、计量泵、反洗水泵、管阀、自控等,利欧/ SEKO</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jc w:val="center"/>
              <w:rPr>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硝化液回流泵</w:t>
            </w:r>
          </w:p>
        </w:tc>
        <w:tc>
          <w:tcPr>
            <w:tcW w:w="2190"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Q</w:t>
            </w:r>
            <w:r>
              <w:rPr>
                <w:rFonts w:ascii="宋体" w:hAnsi="宋体" w:cs="宋体"/>
                <w:color w:val="000000" w:themeColor="text1"/>
                <w:kern w:val="0"/>
              </w:rPr>
              <w:t>=18</w:t>
            </w:r>
            <w:r>
              <w:rPr>
                <w:rFonts w:hint="eastAsia" w:ascii="宋体" w:hAnsi="宋体" w:cs="宋体"/>
                <w:color w:val="000000" w:themeColor="text1"/>
                <w:kern w:val="0"/>
              </w:rPr>
              <w:t>m</w:t>
            </w:r>
            <w:r>
              <w:rPr>
                <w:rFonts w:ascii="宋体" w:hAnsi="宋体" w:cs="宋体"/>
                <w:color w:val="000000" w:themeColor="text1"/>
                <w:kern w:val="0"/>
                <w:vertAlign w:val="superscript"/>
              </w:rPr>
              <w:t>3</w:t>
            </w:r>
            <w:r>
              <w:rPr>
                <w:rFonts w:ascii="宋体" w:hAnsi="宋体" w:cs="宋体"/>
                <w:color w:val="000000" w:themeColor="text1"/>
                <w:kern w:val="0"/>
              </w:rPr>
              <w:t>/h H=10</w:t>
            </w:r>
          </w:p>
        </w:tc>
        <w:tc>
          <w:tcPr>
            <w:tcW w:w="412"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316" w:type="pct"/>
            <w:shd w:val="clear" w:color="auto" w:fill="auto"/>
            <w:vAlign w:val="center"/>
          </w:tcPr>
          <w:p>
            <w:pPr>
              <w:jc w:val="center"/>
              <w:rPr>
                <w:rFonts w:ascii="宋体" w:hAnsi="宋体" w:cs="宋体"/>
                <w:color w:val="000000" w:themeColor="text1"/>
                <w:kern w:val="0"/>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除磷加药系统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包括加药储药箱、计量泵、管阀、自控等，计量泵采用SEKO</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jc w:val="center"/>
              <w:rPr>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MBR膜系统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三菱丽阳，PVDF/</w:t>
            </w:r>
            <w:r>
              <w:rPr>
                <w:rFonts w:ascii="宋体" w:hAnsi="宋体" w:cs="宋体"/>
                <w:color w:val="000000" w:themeColor="text1"/>
                <w:kern w:val="0"/>
              </w:rPr>
              <w:t>SS304</w:t>
            </w:r>
            <w:r>
              <w:rPr>
                <w:rFonts w:hint="eastAsia" w:ascii="宋体" w:hAnsi="宋体" w:cs="宋体"/>
                <w:color w:val="000000" w:themeColor="text1"/>
                <w:kern w:val="0"/>
              </w:rPr>
              <w:t>，包括膜组件、膜架、曝气出水管路系统</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风机</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N=5.5kW，变频控制</w:t>
            </w:r>
          </w:p>
        </w:tc>
        <w:tc>
          <w:tcPr>
            <w:tcW w:w="412" w:type="pct"/>
            <w:shd w:val="clear" w:color="auto" w:fill="auto"/>
            <w:vAlign w:val="center"/>
          </w:tcPr>
          <w:p>
            <w:pPr>
              <w:widowControl/>
              <w:jc w:val="center"/>
              <w:textAlignment w:val="center"/>
              <w:rPr>
                <w:rFonts w:ascii="宋体" w:hAnsi="宋体" w:cs="宋体"/>
                <w:color w:val="000000" w:themeColor="text1"/>
              </w:rPr>
            </w:pPr>
            <w:r>
              <w:rPr>
                <w:rFonts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调节池液位计</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0~5m,4~20mA输出</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膜池液位计</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1~15kpa,4~20mA输出</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负压表</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-100~+35Kpa，4~20mA输出</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只</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电磁流量计</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DN65,4~20mA输出,一体型,DC 24V</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紫外线消毒系统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200W，220V，304不锈钢壳体</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UPVC电动阀组及管路系统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U</w:t>
            </w:r>
            <w:r>
              <w:rPr>
                <w:rFonts w:ascii="宋体" w:hAnsi="宋体" w:cs="宋体"/>
                <w:color w:val="000000" w:themeColor="text1"/>
              </w:rPr>
              <w:t>PVC</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3</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400" w:type="pct"/>
            <w:shd w:val="clear" w:color="auto" w:fill="auto"/>
            <w:vAlign w:val="center"/>
          </w:tcPr>
          <w:p>
            <w:pPr>
              <w:widowControl/>
              <w:ind w:firstLine="105" w:firstLineChars="50"/>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铸铁电动阀组及管路系统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铸铁</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400" w:type="pct"/>
            <w:shd w:val="clear" w:color="auto" w:fill="auto"/>
            <w:vAlign w:val="center"/>
          </w:tcPr>
          <w:p>
            <w:pPr>
              <w:widowControl/>
              <w:jc w:val="center"/>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曝气系统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非标定制</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生物填料</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组合填料或球形填料</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批</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电气控制系统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主要电气元器件施耐德,西门子S7-200Smart PLC；施耐德ATV310变频器（出水泵），ATV320变频器（风机）,繁易10寸彩色液晶触摸屏</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箱体</w:t>
            </w:r>
          </w:p>
        </w:tc>
        <w:tc>
          <w:tcPr>
            <w:tcW w:w="2190" w:type="pct"/>
            <w:shd w:val="clear" w:color="auto" w:fill="auto"/>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集成一级缺氧池、好氧池、二级缺氧池、MBR膜池、清水池、设备间，</w:t>
            </w:r>
          </w:p>
          <w:p>
            <w:pPr>
              <w:widowControl/>
              <w:jc w:val="center"/>
              <w:textAlignment w:val="center"/>
              <w:rPr>
                <w:rFonts w:ascii="宋体" w:hAnsi="宋体" w:cs="宋体"/>
                <w:color w:val="000000" w:themeColor="text1"/>
              </w:rPr>
            </w:pPr>
            <w:r>
              <w:rPr>
                <w:rFonts w:hint="eastAsia" w:ascii="宋体" w:hAnsi="宋体" w:cs="宋体"/>
                <w:color w:val="000000" w:themeColor="text1"/>
                <w:kern w:val="0"/>
              </w:rPr>
              <w:t>L×W×H=</w:t>
            </w:r>
            <w:r>
              <w:rPr>
                <w:rFonts w:ascii="宋体" w:hAnsi="宋体" w:cs="宋体"/>
                <w:color w:val="000000" w:themeColor="text1"/>
                <w:kern w:val="0"/>
              </w:rPr>
              <w:t>18</w:t>
            </w:r>
            <w:r>
              <w:rPr>
                <w:rFonts w:hint="eastAsia" w:ascii="宋体" w:hAnsi="宋体" w:cs="宋体"/>
                <w:color w:val="000000" w:themeColor="text1"/>
                <w:kern w:val="0"/>
              </w:rPr>
              <w:t>×3.5×3m</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7" w:type="pct"/>
            <w:shd w:val="clear" w:color="auto" w:fill="auto"/>
            <w:vAlign w:val="center"/>
          </w:tcPr>
          <w:p>
            <w:pPr>
              <w:widowControl/>
              <w:numPr>
                <w:ilvl w:val="0"/>
                <w:numId w:val="9"/>
              </w:numPr>
              <w:jc w:val="center"/>
              <w:textAlignment w:val="center"/>
              <w:rPr>
                <w:rFonts w:ascii="宋体" w:hAnsi="宋体" w:eastAsia="等线 Light" w:cs="宋体"/>
                <w:b/>
                <w:bCs/>
                <w:color w:val="000000" w:themeColor="text1"/>
                <w:kern w:val="0"/>
              </w:rPr>
            </w:pPr>
          </w:p>
        </w:tc>
        <w:tc>
          <w:tcPr>
            <w:tcW w:w="1275"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安全爬梯</w:t>
            </w:r>
          </w:p>
        </w:tc>
        <w:tc>
          <w:tcPr>
            <w:tcW w:w="2190"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铸铁</w:t>
            </w:r>
          </w:p>
        </w:tc>
        <w:tc>
          <w:tcPr>
            <w:tcW w:w="412"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7" w:type="pct"/>
            <w:shd w:val="clear" w:color="auto" w:fill="auto"/>
            <w:vAlign w:val="center"/>
          </w:tcPr>
          <w:p>
            <w:pPr>
              <w:widowControl/>
              <w:numPr>
                <w:ilvl w:val="0"/>
                <w:numId w:val="9"/>
              </w:numPr>
              <w:jc w:val="center"/>
              <w:textAlignment w:val="center"/>
              <w:rPr>
                <w:rFonts w:ascii="宋体" w:hAnsi="宋体" w:eastAsia="等线 Light" w:cs="宋体"/>
                <w:b/>
                <w:bCs/>
                <w:color w:val="000000" w:themeColor="text1"/>
                <w:kern w:val="0"/>
              </w:rPr>
            </w:pPr>
          </w:p>
        </w:tc>
        <w:tc>
          <w:tcPr>
            <w:tcW w:w="1275"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300管不锈钢提篮格栅</w:t>
            </w:r>
          </w:p>
        </w:tc>
        <w:tc>
          <w:tcPr>
            <w:tcW w:w="2190"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350*700*250mm，孔径5mm，含导轨</w:t>
            </w:r>
          </w:p>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适用于DN600的粉碎格栅</w:t>
            </w:r>
          </w:p>
        </w:tc>
        <w:tc>
          <w:tcPr>
            <w:tcW w:w="412"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kern w:val="0"/>
              </w:rPr>
            </w:pPr>
          </w:p>
        </w:tc>
      </w:tr>
    </w:tbl>
    <w:p>
      <w:pPr>
        <w:rPr>
          <w:b/>
          <w:bCs/>
          <w:sz w:val="24"/>
        </w:rPr>
      </w:pPr>
    </w:p>
    <w:p>
      <w:pPr>
        <w:spacing w:line="560" w:lineRule="exact"/>
        <w:rPr>
          <w:rFonts w:ascii="仿宋_GB2312" w:hAnsi="仿宋_GB2312" w:eastAsia="仿宋_GB2312" w:cs="仿宋_GB2312"/>
          <w:b/>
          <w:bCs/>
          <w:i/>
          <w:iCs/>
          <w:kern w:val="0"/>
          <w:sz w:val="24"/>
        </w:rPr>
      </w:pPr>
      <w:r>
        <w:rPr>
          <w:rFonts w:hint="eastAsia" w:ascii="仿宋_GB2312" w:hAnsi="仿宋_GB2312" w:eastAsia="仿宋_GB2312" w:cs="仿宋_GB2312"/>
          <w:b/>
          <w:bCs/>
          <w:i/>
          <w:iCs/>
          <w:kern w:val="0"/>
          <w:sz w:val="24"/>
        </w:rPr>
        <w:t>说明：如清单中未列出设备安装运行维护所必须的设备配件附件，供应商必须单列报价附在磋商响应报价中。如未列出，视同已含在磋商响应报价中。</w:t>
      </w:r>
    </w:p>
    <w:p>
      <w:pPr>
        <w:spacing w:line="36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三、本次采购范围包括货物的供应、运输、</w:t>
      </w:r>
      <w:r>
        <w:rPr>
          <w:rFonts w:hint="eastAsia" w:ascii="仿宋_GB2312" w:hAnsi="仿宋_GB2312" w:eastAsia="仿宋_GB2312" w:cs="仿宋_GB2312"/>
          <w:b/>
          <w:bCs/>
          <w:kern w:val="0"/>
          <w:sz w:val="24"/>
          <w:lang w:val="en-US" w:eastAsia="zh-CN"/>
        </w:rPr>
        <w:t>吊装、</w:t>
      </w:r>
      <w:r>
        <w:rPr>
          <w:rFonts w:hint="eastAsia" w:ascii="仿宋_GB2312" w:hAnsi="仿宋_GB2312" w:eastAsia="仿宋_GB2312" w:cs="仿宋_GB2312"/>
          <w:b/>
          <w:bCs/>
          <w:kern w:val="0"/>
          <w:sz w:val="24"/>
        </w:rPr>
        <w:t>安装、维修、人员培训及售后服务等。</w:t>
      </w:r>
    </w:p>
    <w:p>
      <w:pPr>
        <w:spacing w:line="360" w:lineRule="exact"/>
        <w:ind w:firstLine="482" w:firstLineChars="200"/>
        <w:rPr>
          <w:rFonts w:ascii="仿宋_GB2312" w:hAnsi="仿宋_GB2312" w:eastAsia="仿宋_GB2312" w:cs="仿宋_GB2312"/>
          <w:b/>
          <w:bCs/>
          <w:color w:val="000000" w:themeColor="text1"/>
          <w:kern w:val="0"/>
          <w:sz w:val="24"/>
        </w:rPr>
      </w:pPr>
      <w:r>
        <w:rPr>
          <w:rFonts w:hint="eastAsia" w:ascii="仿宋_GB2312" w:hAnsi="仿宋_GB2312" w:eastAsia="仿宋_GB2312" w:cs="仿宋_GB2312"/>
          <w:b/>
          <w:bCs/>
          <w:color w:val="000000" w:themeColor="text1"/>
          <w:kern w:val="0"/>
          <w:sz w:val="24"/>
        </w:rPr>
        <w:t>四、本项目采购预算金额：人民币陆拾伍万元整（</w:t>
      </w:r>
      <w:r>
        <w:rPr>
          <w:rFonts w:hint="eastAsia" w:ascii="Dotum" w:hAnsi="Dotum" w:eastAsia="Dotum" w:cs="Dotum"/>
          <w:b/>
          <w:bCs/>
          <w:color w:val="000000" w:themeColor="text1"/>
          <w:kern w:val="0"/>
          <w:sz w:val="24"/>
        </w:rPr>
        <w:t>¥</w:t>
      </w:r>
      <w:r>
        <w:rPr>
          <w:rFonts w:hint="eastAsia" w:ascii="Dotum" w:hAnsi="Dotum" w:cs="Dotum"/>
          <w:b/>
          <w:bCs/>
          <w:color w:val="000000" w:themeColor="text1"/>
          <w:kern w:val="0"/>
          <w:sz w:val="24"/>
        </w:rPr>
        <w:t>：650000</w:t>
      </w:r>
      <w:r>
        <w:rPr>
          <w:rFonts w:hint="eastAsia" w:ascii="仿宋_GB2312" w:hAnsi="仿宋_GB2312" w:eastAsia="仿宋_GB2312" w:cs="仿宋_GB2312"/>
          <w:b/>
          <w:bCs/>
          <w:color w:val="000000" w:themeColor="text1"/>
          <w:kern w:val="0"/>
          <w:sz w:val="24"/>
        </w:rPr>
        <w:t>元）（含税价，13%的税），包含设备、运输、</w:t>
      </w:r>
      <w:r>
        <w:rPr>
          <w:rFonts w:hint="eastAsia" w:ascii="仿宋_GB2312" w:hAnsi="仿宋_GB2312" w:eastAsia="仿宋_GB2312" w:cs="仿宋_GB2312"/>
          <w:b/>
          <w:bCs/>
          <w:color w:val="000000" w:themeColor="text1"/>
          <w:kern w:val="0"/>
          <w:sz w:val="24"/>
          <w:lang w:val="en-US" w:eastAsia="zh-CN"/>
        </w:rPr>
        <w:t>吊装、</w:t>
      </w:r>
      <w:r>
        <w:rPr>
          <w:rFonts w:hint="eastAsia" w:ascii="仿宋_GB2312" w:hAnsi="仿宋_GB2312" w:eastAsia="仿宋_GB2312" w:cs="仿宋_GB2312"/>
          <w:b/>
          <w:bCs/>
          <w:color w:val="000000" w:themeColor="text1"/>
          <w:kern w:val="0"/>
          <w:sz w:val="24"/>
        </w:rPr>
        <w:t>安装调试、质保期内维修费、招标代理费、评委费用等，超出预算报价或最高限价，视为无效响应文件。</w:t>
      </w:r>
    </w:p>
    <w:p>
      <w:pPr>
        <w:spacing w:line="36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kern w:val="0"/>
          <w:sz w:val="24"/>
        </w:rPr>
        <w:t>五、售后服务要求</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（1）设备维保期为正式投入运营之日起不少于2年；供应商应在维保期内提供免费上门维修服务（包括设备零部件的免费更换及所有费用）。设备质保期为不少于2 年，供应商应在质保期内做好设备的质量保修工作。要求供应商在设备寿命期内以不高于投标价格的价格保证备品备件并长期提供技术咨询服务。</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（2）技术支持响应时间。采购设备进行维修通知后，应在2小时内做出响应，并在4小时内派出专门维修人员到现场维修。难点、重点问题 1 天内现场解决。质保期内相关费用由乙方承担，质保期满后乙方收取成本费。</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除本文件规定服务要求外，供应商所能承诺的售后服务应详细说明，同时负责免费向采购人提供设备维修或操作人员的培训。报修响应时间为路程正常时间加3小时。</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五、交货时间、地点</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（1）成交通知书发放后20天内全部交付并安装调试完毕。</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（2）交货地点：招标人指定地点。</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六、付款方式</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调试完成并竣工验收后付至设备采购合同价的70%，结算审计后付至合同价90%，质保期满且无质量及售后服务问题，一次性无息付清余款。</w:t>
      </w:r>
    </w:p>
    <w:p>
      <w:pPr>
        <w:widowControl/>
        <w:spacing w:line="360" w:lineRule="auto"/>
        <w:jc w:val="left"/>
        <w:rPr>
          <w:rFonts w:ascii="楷体" w:hAnsi="楷体" w:eastAsia="楷体"/>
          <w:b/>
          <w:sz w:val="36"/>
        </w:rPr>
      </w:pPr>
    </w:p>
    <w:p/>
    <w:p>
      <w:pPr>
        <w:spacing w:line="360" w:lineRule="auto"/>
        <w:ind w:right="560"/>
        <w:jc w:val="center"/>
        <w:rPr>
          <w:rFonts w:ascii="楷体" w:hAnsi="楷体" w:eastAsia="楷体"/>
          <w:b/>
          <w:sz w:val="32"/>
          <w:szCs w:val="32"/>
        </w:rPr>
      </w:pPr>
    </w:p>
    <w:bookmarkEnd w:id="38"/>
    <w:bookmarkEnd w:id="39"/>
    <w:bookmarkEnd w:id="40"/>
    <w:bookmarkEnd w:id="41"/>
    <w:bookmarkEnd w:id="42"/>
    <w:bookmarkEnd w:id="43"/>
    <w:bookmarkEnd w:id="44"/>
    <w:p>
      <w:pPr>
        <w:widowControl/>
        <w:jc w:val="left"/>
        <w:rPr>
          <w:rFonts w:ascii="楷体" w:hAnsi="楷体" w:eastAsia="楷体"/>
          <w:b/>
          <w:sz w:val="36"/>
        </w:rPr>
      </w:pPr>
      <w:r>
        <w:rPr>
          <w:rFonts w:ascii="楷体" w:hAnsi="楷体" w:eastAsia="楷体"/>
          <w:b/>
          <w:sz w:val="36"/>
        </w:rPr>
        <w:br w:type="page"/>
      </w:r>
    </w:p>
    <w:p>
      <w:pPr>
        <w:widowControl/>
        <w:spacing w:line="360" w:lineRule="auto"/>
        <w:jc w:val="left"/>
        <w:rPr>
          <w:rFonts w:ascii="楷体" w:hAnsi="楷体" w:eastAsia="楷体"/>
          <w:b/>
          <w:sz w:val="24"/>
        </w:rPr>
      </w:pPr>
      <w:r>
        <w:rPr>
          <w:rFonts w:hint="eastAsia" w:ascii="楷体" w:hAnsi="楷体" w:eastAsia="楷体"/>
          <w:b/>
          <w:sz w:val="36"/>
        </w:rPr>
        <w:t xml:space="preserve">第五部分    </w:t>
      </w:r>
      <w:bookmarkEnd w:id="45"/>
      <w:bookmarkEnd w:id="46"/>
      <w:r>
        <w:rPr>
          <w:rFonts w:hint="eastAsia" w:ascii="楷体" w:hAnsi="楷体" w:eastAsia="楷体"/>
          <w:b/>
          <w:sz w:val="36"/>
        </w:rPr>
        <w:t>磋商响应文件(格式)</w:t>
      </w:r>
      <w:bookmarkEnd w:id="47"/>
      <w:bookmarkEnd w:id="48"/>
      <w:bookmarkEnd w:id="49"/>
    </w:p>
    <w:p>
      <w:pPr>
        <w:spacing w:line="360" w:lineRule="auto"/>
        <w:rPr>
          <w:rFonts w:ascii="楷体" w:hAnsi="楷体" w:eastAsia="楷体"/>
          <w:sz w:val="28"/>
        </w:rPr>
      </w:pPr>
    </w:p>
    <w:p>
      <w:pPr>
        <w:spacing w:line="360" w:lineRule="auto"/>
        <w:jc w:val="center"/>
        <w:rPr>
          <w:rFonts w:ascii="楷体" w:hAnsi="楷体" w:eastAsia="楷体"/>
          <w:sz w:val="28"/>
        </w:rPr>
      </w:pPr>
    </w:p>
    <w:p>
      <w:pPr>
        <w:spacing w:line="360" w:lineRule="auto"/>
        <w:jc w:val="center"/>
        <w:rPr>
          <w:rFonts w:ascii="楷体" w:hAnsi="楷体" w:eastAsia="楷体"/>
          <w:sz w:val="28"/>
        </w:rPr>
      </w:pPr>
    </w:p>
    <w:p>
      <w:pPr>
        <w:spacing w:line="360" w:lineRule="auto"/>
        <w:jc w:val="center"/>
        <w:rPr>
          <w:rFonts w:ascii="楷体" w:hAnsi="楷体" w:eastAsia="楷体"/>
          <w:sz w:val="72"/>
        </w:rPr>
      </w:pPr>
      <w:r>
        <w:rPr>
          <w:rFonts w:hint="eastAsia" w:ascii="楷体" w:hAnsi="楷体" w:eastAsia="楷体"/>
          <w:b/>
          <w:sz w:val="72"/>
        </w:rPr>
        <w:t>磋  商  响  应  书</w:t>
      </w:r>
    </w:p>
    <w:p>
      <w:pPr>
        <w:spacing w:line="360" w:lineRule="auto"/>
        <w:jc w:val="center"/>
        <w:rPr>
          <w:rFonts w:ascii="楷体" w:hAnsi="楷体" w:eastAsia="楷体"/>
          <w:b/>
          <w:sz w:val="36"/>
        </w:rPr>
      </w:pPr>
    </w:p>
    <w:p>
      <w:pPr>
        <w:spacing w:line="360" w:lineRule="auto"/>
        <w:jc w:val="center"/>
        <w:rPr>
          <w:rFonts w:ascii="楷体" w:hAnsi="楷体" w:eastAsia="楷体"/>
          <w:b/>
          <w:sz w:val="32"/>
        </w:rPr>
      </w:pPr>
      <w:r>
        <w:rPr>
          <w:rFonts w:hint="eastAsia" w:ascii="楷体" w:hAnsi="楷体" w:eastAsia="楷体"/>
          <w:b/>
          <w:sz w:val="32"/>
        </w:rPr>
        <w:t>项目编号：</w:t>
      </w:r>
    </w:p>
    <w:p>
      <w:pPr>
        <w:spacing w:line="360" w:lineRule="auto"/>
        <w:jc w:val="center"/>
        <w:rPr>
          <w:rFonts w:ascii="楷体" w:hAnsi="楷体" w:eastAsia="楷体"/>
          <w:sz w:val="28"/>
        </w:rPr>
      </w:pPr>
    </w:p>
    <w:p>
      <w:pPr>
        <w:spacing w:line="360" w:lineRule="auto"/>
        <w:rPr>
          <w:rFonts w:ascii="楷体" w:hAnsi="楷体" w:eastAsia="楷体"/>
          <w:b/>
          <w:sz w:val="28"/>
        </w:rPr>
      </w:pPr>
    </w:p>
    <w:p>
      <w:pPr>
        <w:spacing w:line="360" w:lineRule="auto"/>
        <w:ind w:left="630" w:leftChars="300" w:right="630" w:rightChars="300"/>
        <w:jc w:val="center"/>
        <w:rPr>
          <w:rFonts w:ascii="楷体" w:hAnsi="楷体" w:eastAsia="楷体"/>
          <w:b/>
          <w:sz w:val="36"/>
          <w:szCs w:val="36"/>
        </w:rPr>
      </w:pPr>
      <w:r>
        <w:rPr>
          <w:rFonts w:hint="eastAsia" w:ascii="楷体" w:hAnsi="楷体" w:eastAsia="楷体"/>
          <w:b/>
          <w:sz w:val="32"/>
          <w:szCs w:val="32"/>
        </w:rPr>
        <w:t>项目名称：金地格林及景阳广场水环境治理工程污水处理设备采购及安装</w:t>
      </w:r>
    </w:p>
    <w:p>
      <w:pPr>
        <w:spacing w:line="360" w:lineRule="auto"/>
        <w:ind w:left="630" w:leftChars="300" w:right="630" w:rightChars="300"/>
        <w:jc w:val="center"/>
        <w:rPr>
          <w:rFonts w:ascii="楷体" w:hAnsi="楷体" w:eastAsia="楷体"/>
          <w:b/>
          <w:sz w:val="32"/>
          <w:szCs w:val="32"/>
        </w:rPr>
      </w:pPr>
    </w:p>
    <w:p>
      <w:pPr>
        <w:tabs>
          <w:tab w:val="left" w:pos="3660"/>
          <w:tab w:val="center" w:pos="4800"/>
        </w:tabs>
        <w:spacing w:line="360" w:lineRule="auto"/>
        <w:ind w:left="630" w:leftChars="300" w:right="630" w:rightChars="300" w:firstLine="472" w:firstLineChars="147"/>
        <w:jc w:val="left"/>
        <w:rPr>
          <w:rFonts w:ascii="楷体" w:hAnsi="楷体" w:eastAsia="楷体"/>
          <w:b/>
          <w:sz w:val="32"/>
          <w:szCs w:val="32"/>
        </w:rPr>
      </w:pPr>
    </w:p>
    <w:p>
      <w:pPr>
        <w:pStyle w:val="26"/>
        <w:spacing w:line="360" w:lineRule="auto"/>
        <w:rPr>
          <w:rFonts w:ascii="楷体" w:hAnsi="楷体" w:eastAsia="楷体"/>
        </w:rPr>
      </w:pPr>
    </w:p>
    <w:p>
      <w:pPr>
        <w:pStyle w:val="26"/>
        <w:spacing w:line="360" w:lineRule="auto"/>
        <w:rPr>
          <w:rFonts w:ascii="楷体" w:hAnsi="楷体" w:eastAsia="楷体"/>
        </w:rPr>
      </w:pPr>
    </w:p>
    <w:p>
      <w:pPr>
        <w:pStyle w:val="41"/>
        <w:spacing w:line="360" w:lineRule="auto"/>
        <w:ind w:firstLine="0"/>
        <w:rPr>
          <w:rFonts w:ascii="楷体" w:hAnsi="楷体" w:eastAsia="楷体"/>
          <w:b/>
        </w:rPr>
      </w:pPr>
    </w:p>
    <w:p>
      <w:pPr>
        <w:spacing w:line="360" w:lineRule="auto"/>
        <w:ind w:firstLine="1163" w:firstLineChars="362"/>
        <w:rPr>
          <w:rFonts w:ascii="楷体" w:hAnsi="楷体" w:eastAsia="楷体"/>
          <w:b/>
          <w:sz w:val="32"/>
        </w:rPr>
      </w:pPr>
      <w:r>
        <w:rPr>
          <w:rFonts w:hint="eastAsia" w:ascii="楷体" w:hAnsi="楷体" w:eastAsia="楷体"/>
          <w:b/>
          <w:sz w:val="32"/>
        </w:rPr>
        <w:t>供应商（加盖公章）：</w:t>
      </w:r>
    </w:p>
    <w:p>
      <w:pPr>
        <w:spacing w:line="360" w:lineRule="auto"/>
        <w:rPr>
          <w:rFonts w:ascii="楷体" w:hAnsi="楷体" w:eastAsia="楷体"/>
          <w:b/>
          <w:sz w:val="36"/>
        </w:rPr>
      </w:pPr>
    </w:p>
    <w:p>
      <w:pPr>
        <w:spacing w:line="360" w:lineRule="auto"/>
        <w:rPr>
          <w:rFonts w:ascii="楷体" w:hAnsi="楷体" w:eastAsia="楷体"/>
          <w:b/>
          <w:sz w:val="36"/>
        </w:rPr>
      </w:pPr>
    </w:p>
    <w:p>
      <w:pPr>
        <w:spacing w:line="360" w:lineRule="auto"/>
        <w:jc w:val="center"/>
        <w:rPr>
          <w:rFonts w:ascii="楷体" w:hAnsi="楷体" w:eastAsia="楷体"/>
          <w:b/>
          <w:sz w:val="32"/>
        </w:rPr>
      </w:pPr>
      <w:r>
        <w:rPr>
          <w:rFonts w:hint="eastAsia" w:ascii="楷体" w:hAnsi="楷体" w:eastAsia="楷体"/>
          <w:b/>
          <w:sz w:val="32"/>
        </w:rPr>
        <w:t>二○二○年  月   日</w:t>
      </w:r>
    </w:p>
    <w:p>
      <w:pPr>
        <w:pStyle w:val="3"/>
        <w:spacing w:line="360" w:lineRule="auto"/>
        <w:rPr>
          <w:rFonts w:ascii="楷体" w:hAnsi="楷体" w:eastAsia="楷体"/>
          <w:sz w:val="32"/>
        </w:rPr>
      </w:pPr>
      <w:bookmarkStart w:id="52" w:name="_Toc98669374"/>
      <w:bookmarkStart w:id="53" w:name="_Toc20821549"/>
      <w:bookmarkStart w:id="54" w:name="_Toc76955305"/>
      <w:bookmarkStart w:id="55" w:name="_Toc101264858"/>
      <w:bookmarkStart w:id="56" w:name="_Toc98669732"/>
      <w:r>
        <w:rPr>
          <w:rFonts w:ascii="楷体" w:hAnsi="楷体" w:eastAsia="楷体"/>
          <w:sz w:val="32"/>
        </w:rPr>
        <w:br w:type="page"/>
      </w:r>
      <w:r>
        <w:rPr>
          <w:rFonts w:hint="eastAsia" w:ascii="楷体" w:hAnsi="楷体" w:eastAsia="楷体"/>
          <w:sz w:val="32"/>
        </w:rPr>
        <w:t>一、磋商承诺函</w:t>
      </w:r>
    </w:p>
    <w:p>
      <w:pPr>
        <w:spacing w:line="360" w:lineRule="auto"/>
        <w:rPr>
          <w:rFonts w:ascii="楷体" w:hAnsi="楷体" w:eastAsia="楷体"/>
          <w:b/>
          <w:bCs/>
          <w:sz w:val="30"/>
        </w:rPr>
      </w:pPr>
      <w:r>
        <w:rPr>
          <w:rFonts w:hint="eastAsia" w:ascii="楷体" w:hAnsi="楷体" w:eastAsia="楷体"/>
          <w:b/>
          <w:bCs/>
          <w:sz w:val="30"/>
        </w:rPr>
        <w:t>致：</w:t>
      </w:r>
      <w:r>
        <w:rPr>
          <w:rFonts w:hint="eastAsia" w:ascii="楷体" w:hAnsi="楷体" w:eastAsia="楷体"/>
          <w:b/>
          <w:bCs/>
          <w:sz w:val="30"/>
          <w:u w:val="single"/>
        </w:rPr>
        <w:t>江苏物宝建设工程有限公司</w:t>
      </w:r>
    </w:p>
    <w:p>
      <w:pPr>
        <w:pStyle w:val="41"/>
        <w:spacing w:line="360" w:lineRule="auto"/>
        <w:ind w:left="0" w:firstLine="560" w:firstLineChars="200"/>
        <w:jc w:val="both"/>
        <w:rPr>
          <w:rFonts w:ascii="楷体" w:hAnsi="楷体" w:eastAsia="楷体"/>
          <w:sz w:val="28"/>
          <w:szCs w:val="28"/>
        </w:rPr>
      </w:pPr>
      <w:r>
        <w:rPr>
          <w:rFonts w:hint="eastAsia" w:ascii="楷体" w:hAnsi="楷体" w:eastAsia="楷体"/>
          <w:sz w:val="28"/>
          <w:szCs w:val="28"/>
        </w:rPr>
        <w:t>根据贵方关于</w:t>
      </w:r>
      <w:r>
        <w:rPr>
          <w:rFonts w:hint="eastAsia" w:ascii="楷体" w:hAnsi="楷体" w:eastAsia="楷体"/>
          <w:b/>
          <w:sz w:val="30"/>
          <w:szCs w:val="30"/>
          <w:u w:val="single"/>
        </w:rPr>
        <w:t>金地格林及景阳广场水环境治理工程污水处理设备采购及安装</w:t>
      </w:r>
      <w:r>
        <w:rPr>
          <w:rFonts w:hint="eastAsia" w:ascii="楷体" w:hAnsi="楷体" w:eastAsia="楷体"/>
          <w:sz w:val="28"/>
          <w:szCs w:val="24"/>
        </w:rPr>
        <w:t>的磋商邀请书</w:t>
      </w:r>
      <w:r>
        <w:rPr>
          <w:rFonts w:hint="eastAsia" w:ascii="楷体" w:hAnsi="楷体" w:eastAsia="楷体"/>
          <w:sz w:val="28"/>
          <w:szCs w:val="28"/>
        </w:rPr>
        <w:t>】，正式授权下述签字人(姓名和职务)</w:t>
      </w:r>
      <w:r>
        <w:rPr>
          <w:rFonts w:hint="eastAsia" w:ascii="楷体" w:hAnsi="楷体" w:eastAsia="楷体"/>
          <w:sz w:val="28"/>
          <w:szCs w:val="24"/>
        </w:rPr>
        <w:t>代表供应商（磋商供应商的名称），提交下述文件正本壹份，副本贰份。</w:t>
      </w:r>
    </w:p>
    <w:p>
      <w:pPr>
        <w:snapToGrid w:val="0"/>
        <w:spacing w:before="19" w:line="360" w:lineRule="auto"/>
        <w:ind w:firstLine="560" w:firstLineChars="200"/>
        <w:rPr>
          <w:rFonts w:ascii="楷体" w:hAnsi="楷体" w:eastAsia="楷体"/>
          <w:sz w:val="28"/>
        </w:rPr>
      </w:pPr>
      <w:r>
        <w:rPr>
          <w:rFonts w:hint="eastAsia" w:ascii="楷体" w:hAnsi="楷体" w:eastAsia="楷体"/>
          <w:sz w:val="28"/>
        </w:rPr>
        <w:t>（1）磋商（报价）一览表</w:t>
      </w:r>
      <w:r>
        <w:rPr>
          <w:rFonts w:hint="eastAsia" w:ascii="楷体" w:hAnsi="楷体" w:eastAsia="楷体"/>
          <w:sz w:val="32"/>
        </w:rPr>
        <w:t>（首轮）</w:t>
      </w:r>
      <w:r>
        <w:rPr>
          <w:rFonts w:hint="eastAsia" w:ascii="楷体" w:hAnsi="楷体" w:eastAsia="楷体"/>
          <w:sz w:val="28"/>
        </w:rPr>
        <w:t>；</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（2）最终报价表（二轮）；</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（3）报价明细汇总表；</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（4）供应商相关信息一览表；</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（5）本项目组织实施方案及人员配备情况介绍</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（6）技术方案及服务承诺；</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（7）企业情况简介；</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（8）法人授权委托书；</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（9）法定代表人身份证明书；</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（10）中小企业声明函；</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（11）按磋商文件要求供应商能够提供的其他文件。</w:t>
      </w:r>
    </w:p>
    <w:p>
      <w:pPr>
        <w:spacing w:line="360" w:lineRule="auto"/>
        <w:rPr>
          <w:rFonts w:ascii="楷体" w:hAnsi="楷体" w:eastAsia="楷体"/>
          <w:sz w:val="28"/>
          <w:szCs w:val="28"/>
        </w:rPr>
      </w:pPr>
      <w:r>
        <w:rPr>
          <w:rFonts w:hint="eastAsia" w:ascii="楷体" w:hAnsi="楷体" w:eastAsia="楷体"/>
          <w:sz w:val="28"/>
          <w:szCs w:val="28"/>
        </w:rPr>
        <w:t>据此函，签字人兹宣布同意如下：</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（1）按磋商文件规定所提供的唯一报价见最终报价表。</w:t>
      </w:r>
      <w:r>
        <w:rPr>
          <w:rFonts w:ascii="楷体" w:hAnsi="楷体" w:eastAsia="楷体"/>
          <w:sz w:val="28"/>
          <w:szCs w:val="24"/>
          <w:u w:val="single"/>
        </w:rPr>
        <mc:AlternateContent>
          <mc:Choice Requires="wps">
            <w:drawing>
              <wp:anchor distT="0" distB="0" distL="114300" distR="114300" simplePos="0" relativeHeight="251653120"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1"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2" o:spid="_x0000_s1026" o:spt="20" style="position:absolute;left:0pt;margin-left:15.75pt;margin-top:19.5pt;height:0pt;width:0.05pt;z-index:251653120;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ExMtQAAAAHAQAADwAAAAAAAAABACAAAAAiAAAAZHJz&#10;L2Rvd25yZXYueG1sUEsBAhQAFAAAAAgAh07iQOn87HbPAQAAmAMAAA4AAAAAAAAAAQAgAAAAIwEA&#10;AGRycy9lMm9Eb2MueG1sUEsFBgAAAAAGAAYAWQEAAGQFAAAAAA==&#10;">
                <v:fill on="f" focussize="0,0"/>
                <v:stroke color="#000000" joinstyle="round"/>
                <v:imagedata o:title=""/>
                <o:lock v:ext="edit" aspectratio="f"/>
              </v:line>
            </w:pict>
          </mc:Fallback>
        </mc:AlternateContent>
      </w:r>
      <w:r>
        <w:rPr>
          <w:rFonts w:ascii="楷体" w:hAnsi="楷体" w:eastAsia="楷体"/>
          <w:sz w:val="28"/>
          <w:szCs w:val="24"/>
          <w:u w:val="single"/>
        </w:rPr>
        <mc:AlternateContent>
          <mc:Choice Requires="wps">
            <w:drawing>
              <wp:anchor distT="0" distB="0" distL="114300" distR="114300" simplePos="0" relativeHeight="251654144"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2" name="直线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margin-left:210pt;margin-top:15.6pt;height:0pt;width:0.05pt;z-index:251654144;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qhsxNQAAAAJAQAADwAAAAAAAAABACAAAAAiAAAAZHJz&#10;L2Rvd25yZXYueG1sUEsBAhQAFAAAAAgAh07iQPu4bYHPAQAAmAMAAA4AAAAAAAAAAQAgAAAAIwEA&#10;AGRycy9lMm9Eb2MueG1sUEsFBgAAAAAGAAYAWQEAAGQFA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55168"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3" name="直线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margin-left:15.75pt;margin-top:19.5pt;height:0pt;width:0.05pt;z-index:251655168;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hMTLUAAAABwEAAA8AAAAAAAAAAQAgAAAAIgAAAGRy&#10;cy9kb3ducmV2LnhtbFBLAQIUABQAAAAIAIdO4kAfH/8/0AEAAJgDAAAOAAAAAAAAAAEAIAAAACMB&#10;AABkcnMvZTJvRG9jLnhtbFBLBQYAAAAABgAGAFkBAABlBQ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56192"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4"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10pt;margin-top:15.6pt;height:0pt;width:0.05pt;z-index:25165619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6obMTUAAAACQEAAA8AAAAAAAAAAQAgAAAAIgAAAGRy&#10;cy9kb3ducmV2LnhtbFBLAQIUABQAAAAIAIdO4kCBYAUv0AEAAJgDAAAOAAAAAAAAAAEAIAAAACMB&#10;AABkcnMvZTJvRG9jLnhtbFBLBQYAAAAABgAGAFkBAABlBQAAAAA=&#10;">
                <v:fill on="f" focussize="0,0"/>
                <v:stroke color="#000000" joinstyle="round"/>
                <v:imagedata o:title=""/>
                <o:lock v:ext="edit" aspectratio="f"/>
              </v:line>
            </w:pict>
          </mc:Fallback>
        </mc:AlternateContent>
      </w:r>
      <w:r>
        <w:rPr>
          <w:rFonts w:ascii="楷体" w:hAnsi="楷体" w:eastAsia="楷体"/>
          <w:sz w:val="28"/>
          <w:szCs w:val="24"/>
          <w:u w:val="single"/>
        </w:rPr>
        <mc:AlternateContent>
          <mc:Choice Requires="wps">
            <w:drawing>
              <wp:anchor distT="0" distB="0" distL="114300" distR="114300" simplePos="0" relativeHeight="251657216" behindDoc="0" locked="0" layoutInCell="0" allowOverlap="1">
                <wp:simplePos x="0" y="0"/>
                <wp:positionH relativeFrom="column">
                  <wp:posOffset>200025</wp:posOffset>
                </wp:positionH>
                <wp:positionV relativeFrom="paragraph">
                  <wp:posOffset>247650</wp:posOffset>
                </wp:positionV>
                <wp:extent cx="0" cy="0"/>
                <wp:effectExtent l="0" t="0" r="0" b="0"/>
                <wp:wrapNone/>
                <wp:docPr id="5" name="直线 1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15.75pt;margin-top:19.5pt;height:0pt;width:0pt;z-index:251657216;mso-width-relative:page;mso-height-relative:page;" filled="f" stroked="t" coordsize="21600,21600" o:allowincell="f" o:gfxdata="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MpYHSAAAABwEAAA8AAAAAAAAAAQAgAAAAIgAAAGRycy9kb3du&#10;cmV2LnhtbFBLAQIUABQAAAAIAIdO4kAxaBGozAEAAJYDAAAOAAAAAAAAAAEAIAAAACEBAABkcnMv&#10;ZTJvRG9jLnhtbFBLBQYAAAAABgAGAFkBAABfBQAAAAA=&#10;">
                <v:fill on="f" focussize="0,0"/>
                <v:stroke color="#000000" joinstyle="round"/>
                <v:imagedata o:title=""/>
                <o:lock v:ext="edit" aspectratio="f"/>
              </v:line>
            </w:pict>
          </mc:Fallback>
        </mc:AlternateContent>
      </w:r>
      <w:r>
        <w:rPr>
          <w:rFonts w:ascii="楷体" w:hAnsi="楷体" w:eastAsia="楷体"/>
          <w:sz w:val="28"/>
          <w:szCs w:val="24"/>
          <w:u w:val="single"/>
        </w:rPr>
        <mc:AlternateContent>
          <mc:Choice Requires="wps">
            <w:drawing>
              <wp:anchor distT="0" distB="0" distL="114300" distR="114300" simplePos="0" relativeHeight="251658240" behindDoc="0" locked="0" layoutInCell="0" allowOverlap="1">
                <wp:simplePos x="0" y="0"/>
                <wp:positionH relativeFrom="column">
                  <wp:posOffset>2667000</wp:posOffset>
                </wp:positionH>
                <wp:positionV relativeFrom="paragraph">
                  <wp:posOffset>198120</wp:posOffset>
                </wp:positionV>
                <wp:extent cx="0" cy="0"/>
                <wp:effectExtent l="0" t="0" r="0" b="0"/>
                <wp:wrapNone/>
                <wp:docPr id="6" name="直线 17"/>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 o:spid="_x0000_s1026" o:spt="20" style="position:absolute;left:0pt;margin-left:210pt;margin-top:15.6pt;height:0pt;width:0pt;z-index:251658240;mso-width-relative:page;mso-height-relative:page;" filled="f" stroked="t" coordsize="21600,21600" o:allowincell="f" o:gfxdata="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7PgqtMAAAAJAQAADwAAAAAAAAABACAAAAAiAAAAZHJzL2Rv&#10;d25yZXYueG1sUEsBAhQAFAAAAAgAh07iQIoYY8LNAQAAlgMAAA4AAAAAAAAAAQAgAAAAIgEAAGRy&#10;cy9lMm9Eb2MueG1sUEsFBgAAAAAGAAYAWQEAAGEFA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59264" behindDoc="0" locked="0" layoutInCell="0" allowOverlap="1">
                <wp:simplePos x="0" y="0"/>
                <wp:positionH relativeFrom="column">
                  <wp:posOffset>200025</wp:posOffset>
                </wp:positionH>
                <wp:positionV relativeFrom="paragraph">
                  <wp:posOffset>247650</wp:posOffset>
                </wp:positionV>
                <wp:extent cx="0" cy="0"/>
                <wp:effectExtent l="0" t="0" r="0" b="0"/>
                <wp:wrapNone/>
                <wp:docPr id="7" name="直线 18"/>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margin-left:15.75pt;margin-top:19.5pt;height:0pt;width:0pt;z-index:251659264;mso-width-relative:page;mso-height-relative:page;" filled="f" stroked="t" coordsize="21600,21600" o:allowincell="f" o:gfxdata="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zKWB0gAAAAcBAAAPAAAAAAAAAAEAIAAAACIAAABkcnMvZG93&#10;bnJldi54bWxQSwECFAAUAAAACACHTuJARQgdFM0BAACWAwAADgAAAAAAAAABACAAAAAhAQAAZHJz&#10;L2Uyb0RvYy54bWxQSwUGAAAAAAYABgBZAQAAYAU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198120</wp:posOffset>
                </wp:positionV>
                <wp:extent cx="0" cy="0"/>
                <wp:effectExtent l="0" t="0" r="0" b="0"/>
                <wp:wrapNone/>
                <wp:docPr id="8" name="直线 19"/>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210pt;margin-top:15.6pt;height:0pt;width:0pt;z-index:251660288;mso-width-relative:page;mso-height-relative:page;" filled="f" stroked="t" coordsize="21600,21600" o:allowincell="f" o:gfxdata="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s+Cq0wAAAAkBAAAPAAAAAAAAAAEAIAAAACIAAABkcnMvZG93&#10;bnJldi54bWxQSwECFAAUAAAACACHTuJAyn5XSswBAACWAwAADgAAAAAAAAABACAAAAAiAQAAZHJz&#10;L2Uyb0RvYy54bWxQSwUGAAAAAAYABgBZAQAAYAUAAAAA&#10;">
                <v:fill on="f" focussize="0,0"/>
                <v:stroke color="#000000" joinstyle="round"/>
                <v:imagedata o:title=""/>
                <o:lock v:ext="edit" aspectratio="f"/>
              </v:line>
            </w:pict>
          </mc:Fallback>
        </mc:AlternateContent>
      </w:r>
    </w:p>
    <w:p>
      <w:pPr>
        <w:pStyle w:val="23"/>
        <w:snapToGrid w:val="0"/>
        <w:spacing w:line="360" w:lineRule="auto"/>
        <w:ind w:firstLine="560" w:firstLineChars="200"/>
        <w:rPr>
          <w:rFonts w:ascii="楷体" w:hAnsi="楷体" w:eastAsia="楷体"/>
          <w:sz w:val="28"/>
          <w:szCs w:val="24"/>
        </w:rPr>
      </w:pPr>
      <w:r>
        <w:rPr>
          <w:rFonts w:ascii="楷体" w:hAnsi="楷体" w:eastAsia="楷体"/>
          <w:sz w:val="28"/>
          <w:szCs w:val="24"/>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0" cy="0"/>
                <wp:effectExtent l="0" t="0" r="0" b="0"/>
                <wp:wrapNone/>
                <wp:docPr id="9" name="直线 20"/>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10pt;margin-top:19.5pt;height:0pt;width:0pt;z-index:251661312;mso-width-relative:page;mso-height-relative:page;" filled="f" stroked="t" coordsize="21600,21600" o:allowincell="f" o:gfxdata="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huW7UAAAACQEAAA8AAAAAAAAAAQAgAAAAIgAAAGRycy9kb3du&#10;cmV2LnhtbFBLAQIUABQAAAAIAIdO4kBACF1SygEAAJYDAAAOAAAAAAAAAAEAIAAAACMBAABkcnMv&#10;ZTJvRG9jLnhtbFBLBQYAAAAABgAGAFkBAABfBQ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0" cy="0"/>
                <wp:effectExtent l="0" t="0" r="0" b="0"/>
                <wp:wrapNone/>
                <wp:docPr id="10" name="直线 2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210pt;margin-top:19.5pt;height:0pt;width:0pt;z-index:251662336;mso-width-relative:page;mso-height-relative:page;" filled="f" stroked="t" coordsize="21600,21600" o:allowincell="f" o:gfxdata="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huW7UAAAACQEAAA8AAAAAAAAAAQAgAAAAIgAAAGRycy9k&#10;b3ducmV2LnhtbFBLAQIUABQAAAAIAIdO4kDv9t9bzQEAAJcDAAAOAAAAAAAAAAEAIAAAACMBAABk&#10;cnMvZTJvRG9jLnhtbFBLBQYAAAAABgAGAFkBAABiBQAAAAA=&#10;">
                <v:fill on="f" focussize="0,0"/>
                <v:stroke color="#000000" joinstyle="round"/>
                <v:imagedata o:title=""/>
                <o:lock v:ext="edit" aspectratio="f"/>
              </v:line>
            </w:pict>
          </mc:Fallback>
        </mc:AlternateContent>
      </w:r>
      <w:r>
        <w:rPr>
          <w:rFonts w:hint="eastAsia" w:ascii="楷体" w:hAnsi="楷体" w:eastAsia="楷体"/>
          <w:sz w:val="28"/>
          <w:szCs w:val="24"/>
        </w:rPr>
        <w:t>（2）我方承诺：根据磋商文件的规定，完成合同的责任和义务（如有偏离，在磋商响应文件中另作说明）。</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（3）我方已详细审核全部磋商文件，包括磋商文件修改通知（如果有的话），我方完全理解并同意放弃对这方面不明及误解的权利。</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（4）我方保证向磋商组织方提供的磋商响应文件及所有材料的完整、真实、合法、有效并对其负责。</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（5）</w:t>
      </w:r>
      <w:r>
        <w:rPr>
          <w:rFonts w:hint="eastAsia" w:ascii="楷体" w:hAnsi="楷体" w:eastAsia="楷体"/>
          <w:sz w:val="28"/>
          <w:szCs w:val="28"/>
        </w:rPr>
        <w:t>我方同意从规定的磋商日期起遵循本磋商文件，并在规定的有效期期满之前均具有约束力。</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（6）我方同意向贵方提供贵方可能要求的与本磋商有关的任何证据或资料。</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（7）我方完全理解贵方不一定要接受最低报价的磋商响应或收到的任何磋商响应文件。</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（8）我方</w:t>
      </w:r>
      <w:r>
        <w:rPr>
          <w:rFonts w:hint="eastAsia" w:ascii="楷体" w:hAnsi="楷体" w:eastAsia="楷体"/>
          <w:bCs/>
          <w:sz w:val="28"/>
        </w:rPr>
        <w:t>知道如用虚假材料或恶意方式向贵方提出质疑，将承担相应的法律责任。同时承诺：</w:t>
      </w:r>
      <w:r>
        <w:rPr>
          <w:rFonts w:hint="eastAsia" w:ascii="楷体" w:hAnsi="楷体" w:eastAsia="楷体"/>
          <w:sz w:val="28"/>
          <w:szCs w:val="24"/>
        </w:rPr>
        <w:t>我方</w:t>
      </w:r>
      <w:r>
        <w:rPr>
          <w:rFonts w:hint="eastAsia" w:ascii="楷体" w:hAnsi="楷体" w:eastAsia="楷体"/>
          <w:bCs/>
          <w:sz w:val="28"/>
        </w:rPr>
        <w:t>如果有上述行为，将无条件承担</w:t>
      </w:r>
      <w:r>
        <w:rPr>
          <w:rFonts w:hint="eastAsia" w:ascii="楷体" w:hAnsi="楷体" w:eastAsia="楷体"/>
          <w:sz w:val="28"/>
        </w:rPr>
        <w:t>贵方</w:t>
      </w:r>
      <w:r>
        <w:rPr>
          <w:rFonts w:hint="eastAsia" w:ascii="楷体" w:hAnsi="楷体" w:eastAsia="楷体"/>
          <w:bCs/>
          <w:sz w:val="28"/>
        </w:rPr>
        <w:t>相关的调查论证费用。</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（9）本次磋商响应文件内容与磋商文件内容偏离（技术和商务）见偏离说明（如果有）。</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（10）</w:t>
      </w:r>
      <w:r>
        <w:rPr>
          <w:rFonts w:hint="eastAsia" w:ascii="楷体" w:hAnsi="楷体" w:eastAsia="楷体"/>
          <w:bCs/>
          <w:sz w:val="28"/>
        </w:rPr>
        <w:t>本公司承诺：参加政府采购活动前三年内，在经营活动中没有重大违法记录。</w:t>
      </w:r>
    </w:p>
    <w:p>
      <w:pPr>
        <w:pStyle w:val="23"/>
        <w:snapToGrid w:val="0"/>
        <w:spacing w:line="360" w:lineRule="auto"/>
        <w:ind w:firstLine="560" w:firstLineChars="200"/>
        <w:rPr>
          <w:rFonts w:ascii="楷体" w:hAnsi="楷体" w:eastAsia="楷体"/>
          <w:sz w:val="28"/>
          <w:szCs w:val="28"/>
        </w:rPr>
      </w:pPr>
      <w:r>
        <w:rPr>
          <w:rFonts w:hint="eastAsia" w:ascii="楷体" w:hAnsi="楷体" w:eastAsia="楷体"/>
          <w:sz w:val="28"/>
          <w:szCs w:val="24"/>
        </w:rPr>
        <w:t>（11）</w:t>
      </w:r>
      <w:r>
        <w:rPr>
          <w:rFonts w:hint="eastAsia" w:ascii="楷体" w:hAnsi="楷体" w:eastAsia="楷体"/>
          <w:sz w:val="28"/>
          <w:szCs w:val="28"/>
        </w:rPr>
        <w:t>遵守磋商文件中要求的收费项目和标准。</w:t>
      </w:r>
    </w:p>
    <w:p>
      <w:pPr>
        <w:pStyle w:val="23"/>
        <w:snapToGrid w:val="0"/>
        <w:spacing w:line="360" w:lineRule="auto"/>
        <w:ind w:firstLine="560" w:firstLineChars="200"/>
        <w:rPr>
          <w:rFonts w:ascii="楷体" w:hAnsi="楷体" w:eastAsia="楷体"/>
          <w:sz w:val="28"/>
          <w:szCs w:val="28"/>
        </w:rPr>
      </w:pPr>
      <w:r>
        <w:rPr>
          <w:rFonts w:hint="eastAsia" w:ascii="楷体" w:hAnsi="楷体" w:eastAsia="楷体"/>
          <w:sz w:val="28"/>
          <w:szCs w:val="28"/>
        </w:rPr>
        <w:t>（12）</w:t>
      </w:r>
      <w:r>
        <w:rPr>
          <w:rFonts w:hint="eastAsia" w:ascii="楷体" w:hAnsi="楷体" w:eastAsia="楷体"/>
          <w:sz w:val="28"/>
          <w:szCs w:val="24"/>
        </w:rPr>
        <w:t>与本磋商有关的一切正式往来通讯请寄：</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 xml:space="preserve">地址： </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 xml:space="preserve">电话：   </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 xml:space="preserve">传真：          </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邮政编码：</w:t>
      </w:r>
    </w:p>
    <w:p>
      <w:pPr>
        <w:spacing w:line="360" w:lineRule="auto"/>
        <w:ind w:firstLine="560" w:firstLineChars="200"/>
        <w:rPr>
          <w:rFonts w:ascii="楷体" w:hAnsi="楷体" w:eastAsia="楷体"/>
          <w:sz w:val="28"/>
        </w:rPr>
      </w:pPr>
      <w:r>
        <w:rPr>
          <w:rFonts w:hint="eastAsia" w:ascii="楷体" w:hAnsi="楷体" w:eastAsia="楷体"/>
          <w:sz w:val="28"/>
        </w:rPr>
        <w:t xml:space="preserve">法定代表人或其委托代理人签字：                      </w:t>
      </w:r>
    </w:p>
    <w:p>
      <w:pPr>
        <w:spacing w:line="360" w:lineRule="auto"/>
        <w:rPr>
          <w:rFonts w:ascii="楷体" w:hAnsi="楷体" w:eastAsia="楷体"/>
          <w:sz w:val="28"/>
        </w:rPr>
      </w:pP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rPr>
        <w:t>供应商（公章）________________</w:t>
      </w:r>
    </w:p>
    <w:p>
      <w:pPr>
        <w:spacing w:line="360" w:lineRule="auto"/>
        <w:jc w:val="right"/>
        <w:rPr>
          <w:rFonts w:ascii="楷体" w:hAnsi="楷体" w:eastAsia="楷体"/>
          <w:sz w:val="28"/>
          <w:szCs w:val="28"/>
          <w:u w:val="single"/>
        </w:rPr>
      </w:pPr>
      <w:r>
        <w:rPr>
          <w:rFonts w:hint="eastAsia" w:ascii="楷体" w:hAnsi="楷体" w:eastAsia="楷体"/>
          <w:sz w:val="28"/>
        </w:rPr>
        <w:t>日期：  年   月   日</w:t>
      </w:r>
    </w:p>
    <w:p>
      <w:pPr>
        <w:spacing w:line="360" w:lineRule="auto"/>
      </w:pPr>
    </w:p>
    <w:p>
      <w:pPr>
        <w:spacing w:line="360" w:lineRule="auto"/>
      </w:pPr>
    </w:p>
    <w:p>
      <w:pPr>
        <w:widowControl/>
        <w:jc w:val="left"/>
        <w:rPr>
          <w:rFonts w:ascii="楷体" w:hAnsi="楷体" w:eastAsia="楷体"/>
          <w:b/>
          <w:sz w:val="32"/>
          <w:szCs w:val="32"/>
        </w:rPr>
      </w:pPr>
      <w:r>
        <w:rPr>
          <w:rFonts w:ascii="楷体" w:hAnsi="楷体" w:eastAsia="楷体"/>
          <w:b/>
          <w:sz w:val="32"/>
          <w:szCs w:val="32"/>
        </w:rPr>
        <w:br w:type="page"/>
      </w:r>
      <w:r>
        <w:rPr>
          <w:rFonts w:hint="eastAsia" w:ascii="楷体" w:hAnsi="楷体" w:eastAsia="楷体"/>
          <w:b/>
          <w:sz w:val="32"/>
          <w:szCs w:val="32"/>
        </w:rPr>
        <w:t>二、磋商（报价）一览表</w:t>
      </w:r>
    </w:p>
    <w:p>
      <w:pPr>
        <w:pStyle w:val="7"/>
        <w:spacing w:line="360" w:lineRule="auto"/>
        <w:jc w:val="center"/>
        <w:rPr>
          <w:rFonts w:ascii="楷体" w:hAnsi="楷体" w:eastAsia="楷体"/>
        </w:rPr>
      </w:pPr>
      <w:r>
        <w:rPr>
          <w:rFonts w:hint="eastAsia" w:ascii="楷体" w:hAnsi="楷体" w:eastAsia="楷体"/>
          <w:b/>
          <w:sz w:val="28"/>
        </w:rPr>
        <w:t>（一）首轮报价表</w:t>
      </w:r>
    </w:p>
    <w:tbl>
      <w:tblPr>
        <w:tblStyle w:val="55"/>
        <w:tblW w:w="9330" w:type="dxa"/>
        <w:tblInd w:w="288" w:type="dxa"/>
        <w:tblLayout w:type="fixed"/>
        <w:tblCellMar>
          <w:top w:w="0" w:type="dxa"/>
          <w:left w:w="108" w:type="dxa"/>
          <w:bottom w:w="0" w:type="dxa"/>
          <w:right w:w="108" w:type="dxa"/>
        </w:tblCellMar>
      </w:tblPr>
      <w:tblGrid>
        <w:gridCol w:w="3105"/>
        <w:gridCol w:w="6225"/>
      </w:tblGrid>
      <w:tr>
        <w:tblPrEx>
          <w:tblCellMar>
            <w:top w:w="0" w:type="dxa"/>
            <w:left w:w="108" w:type="dxa"/>
            <w:bottom w:w="0" w:type="dxa"/>
            <w:right w:w="108" w:type="dxa"/>
          </w:tblCellMar>
        </w:tblPrEx>
        <w:trPr>
          <w:trHeight w:val="1011" w:hRule="atLeast"/>
        </w:trPr>
        <w:tc>
          <w:tcPr>
            <w:tcW w:w="9330" w:type="dxa"/>
            <w:gridSpan w:val="2"/>
            <w:tcBorders>
              <w:top w:val="nil"/>
              <w:left w:val="nil"/>
              <w:bottom w:val="nil"/>
              <w:right w:val="nil"/>
            </w:tcBorders>
            <w:vAlign w:val="center"/>
          </w:tcPr>
          <w:p>
            <w:pPr>
              <w:widowControl/>
              <w:spacing w:line="360" w:lineRule="auto"/>
              <w:rPr>
                <w:rFonts w:ascii="楷体" w:hAnsi="楷体" w:eastAsia="楷体" w:cs="宋体"/>
                <w:b/>
                <w:bCs/>
                <w:kern w:val="0"/>
                <w:sz w:val="28"/>
              </w:rPr>
            </w:pPr>
            <w:r>
              <w:rPr>
                <w:rFonts w:hint="eastAsia" w:ascii="楷体" w:hAnsi="楷体" w:eastAsia="楷体" w:cs="宋体"/>
                <w:b/>
                <w:bCs/>
                <w:kern w:val="0"/>
                <w:sz w:val="28"/>
              </w:rPr>
              <w:t>供应商名称（加盖公章）：</w:t>
            </w:r>
          </w:p>
        </w:tc>
      </w:tr>
      <w:tr>
        <w:tblPrEx>
          <w:tblCellMar>
            <w:top w:w="0" w:type="dxa"/>
            <w:left w:w="108" w:type="dxa"/>
            <w:bottom w:w="0" w:type="dxa"/>
            <w:right w:w="108" w:type="dxa"/>
          </w:tblCellMar>
        </w:tblPrEx>
        <w:trPr>
          <w:trHeight w:val="1997" w:hRule="atLeast"/>
        </w:trPr>
        <w:tc>
          <w:tcPr>
            <w:tcW w:w="31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cs="宋体"/>
                <w:kern w:val="0"/>
                <w:sz w:val="28"/>
              </w:rPr>
            </w:pPr>
            <w:r>
              <w:rPr>
                <w:rFonts w:hint="eastAsia" w:ascii="楷体" w:hAnsi="楷体" w:eastAsia="楷体" w:cs="宋体"/>
                <w:kern w:val="0"/>
                <w:sz w:val="28"/>
              </w:rPr>
              <w:t>项目总报价</w:t>
            </w:r>
          </w:p>
        </w:tc>
        <w:tc>
          <w:tcPr>
            <w:tcW w:w="6225" w:type="dxa"/>
            <w:tcBorders>
              <w:top w:val="single" w:color="auto" w:sz="4" w:space="0"/>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516" w:hRule="atLeast"/>
        </w:trPr>
        <w:tc>
          <w:tcPr>
            <w:tcW w:w="3105" w:type="dxa"/>
            <w:tcBorders>
              <w:top w:val="single" w:color="auto" w:sz="4" w:space="0"/>
              <w:left w:val="single" w:color="auto" w:sz="4" w:space="0"/>
              <w:right w:val="single" w:color="auto" w:sz="4" w:space="0"/>
            </w:tcBorders>
            <w:vAlign w:val="center"/>
          </w:tcPr>
          <w:p>
            <w:pPr>
              <w:spacing w:line="360" w:lineRule="auto"/>
              <w:rPr>
                <w:rFonts w:ascii="楷体" w:hAnsi="楷体" w:eastAsia="楷体" w:cs="宋体"/>
                <w:kern w:val="0"/>
                <w:sz w:val="28"/>
              </w:rPr>
            </w:pPr>
          </w:p>
        </w:tc>
        <w:tc>
          <w:tcPr>
            <w:tcW w:w="6225" w:type="dxa"/>
            <w:tcBorders>
              <w:top w:val="single" w:color="auto" w:sz="4" w:space="0"/>
              <w:left w:val="nil"/>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834"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项目工期</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1359"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备注</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bl>
    <w:p>
      <w:pPr>
        <w:pStyle w:val="22"/>
        <w:spacing w:line="360" w:lineRule="auto"/>
        <w:ind w:left="590" w:hanging="590" w:hangingChars="245"/>
        <w:rPr>
          <w:rFonts w:ascii="楷体" w:hAnsi="楷体" w:eastAsia="楷体"/>
          <w:b/>
          <w:sz w:val="24"/>
          <w:szCs w:val="24"/>
        </w:rPr>
      </w:pPr>
      <w:r>
        <w:rPr>
          <w:rFonts w:hint="eastAsia" w:ascii="楷体" w:hAnsi="楷体" w:eastAsia="楷体"/>
          <w:b/>
          <w:sz w:val="24"/>
        </w:rPr>
        <w:t>注：</w:t>
      </w:r>
      <w:r>
        <w:rPr>
          <w:rFonts w:hint="eastAsia" w:ascii="楷体" w:hAnsi="楷体" w:eastAsia="楷体"/>
          <w:b/>
          <w:bCs/>
          <w:sz w:val="24"/>
        </w:rPr>
        <w:t>1、“总报价”包括维修工程所涉及的所有费用（应包括设备、劳务、管理、材料、安装、维护、培训、利润、税金及政策性文件规定的各项应有费用等）及各种税费等。首轮报价不得超过预算。</w:t>
      </w:r>
    </w:p>
    <w:p>
      <w:pPr>
        <w:pStyle w:val="22"/>
        <w:spacing w:line="360" w:lineRule="auto"/>
        <w:ind w:firstLine="590" w:firstLineChars="245"/>
        <w:rPr>
          <w:rFonts w:ascii="楷体" w:hAnsi="楷体" w:eastAsia="楷体"/>
          <w:b/>
          <w:bCs/>
          <w:sz w:val="24"/>
          <w:szCs w:val="24"/>
        </w:rPr>
      </w:pPr>
      <w:r>
        <w:rPr>
          <w:rFonts w:hint="eastAsia" w:ascii="楷体" w:hAnsi="楷体" w:eastAsia="楷体"/>
          <w:b/>
          <w:bCs/>
          <w:sz w:val="24"/>
        </w:rPr>
        <w:t>2、</w:t>
      </w:r>
      <w:r>
        <w:rPr>
          <w:rFonts w:hint="eastAsia" w:ascii="楷体" w:hAnsi="楷体" w:eastAsia="楷体"/>
          <w:b/>
          <w:bCs/>
          <w:sz w:val="24"/>
          <w:szCs w:val="24"/>
        </w:rPr>
        <w:t>供应商</w:t>
      </w:r>
      <w:r>
        <w:rPr>
          <w:rFonts w:hint="eastAsia" w:ascii="楷体" w:hAnsi="楷体" w:eastAsia="楷体"/>
          <w:b/>
          <w:bCs/>
          <w:sz w:val="24"/>
        </w:rPr>
        <w:t>必须据实填具此表，报价范围与磋商文件中有关采购要求一致</w:t>
      </w:r>
      <w:r>
        <w:rPr>
          <w:rFonts w:hint="eastAsia" w:ascii="楷体" w:hAnsi="楷体" w:eastAsia="楷体"/>
          <w:b/>
          <w:bCs/>
          <w:sz w:val="24"/>
          <w:szCs w:val="24"/>
        </w:rPr>
        <w:t>。</w:t>
      </w:r>
    </w:p>
    <w:p>
      <w:pPr>
        <w:pStyle w:val="22"/>
        <w:spacing w:line="360" w:lineRule="auto"/>
        <w:rPr>
          <w:rFonts w:ascii="楷体" w:hAnsi="楷体" w:eastAsia="楷体"/>
          <w:sz w:val="24"/>
          <w:szCs w:val="24"/>
          <w:u w:val="single"/>
        </w:rPr>
      </w:pPr>
    </w:p>
    <w:p>
      <w:pPr>
        <w:spacing w:line="360" w:lineRule="auto"/>
        <w:rPr>
          <w:rFonts w:ascii="楷体" w:hAnsi="楷体" w:eastAsia="楷体"/>
          <w:sz w:val="28"/>
        </w:rPr>
      </w:pPr>
    </w:p>
    <w:p>
      <w:pPr>
        <w:spacing w:line="360" w:lineRule="auto"/>
        <w:rPr>
          <w:rFonts w:ascii="楷体" w:hAnsi="楷体" w:eastAsia="楷体"/>
          <w:sz w:val="28"/>
        </w:rPr>
      </w:pPr>
      <w:r>
        <w:rPr>
          <w:rFonts w:hint="eastAsia" w:ascii="楷体" w:hAnsi="楷体" w:eastAsia="楷体"/>
          <w:sz w:val="28"/>
        </w:rPr>
        <w:t xml:space="preserve">法定代表人或其委托代理人签字：                      </w:t>
      </w:r>
    </w:p>
    <w:p>
      <w:pPr>
        <w:pStyle w:val="22"/>
        <w:spacing w:line="360" w:lineRule="auto"/>
        <w:rPr>
          <w:rFonts w:ascii="楷体" w:hAnsi="楷体" w:eastAsia="楷体"/>
          <w:sz w:val="30"/>
        </w:rPr>
      </w:pPr>
    </w:p>
    <w:p>
      <w:pPr>
        <w:pStyle w:val="22"/>
        <w:spacing w:line="360" w:lineRule="auto"/>
        <w:rPr>
          <w:rFonts w:ascii="楷体" w:hAnsi="楷体" w:eastAsia="楷体"/>
          <w:sz w:val="30"/>
        </w:rPr>
      </w:pPr>
    </w:p>
    <w:p>
      <w:pPr>
        <w:pStyle w:val="22"/>
        <w:spacing w:line="360" w:lineRule="auto"/>
        <w:ind w:left="840" w:hanging="120"/>
        <w:jc w:val="center"/>
        <w:rPr>
          <w:rFonts w:ascii="楷体" w:hAnsi="楷体" w:eastAsia="楷体"/>
          <w:b/>
        </w:rPr>
      </w:pPr>
      <w:r>
        <w:rPr>
          <w:rFonts w:hint="eastAsia" w:ascii="楷体" w:hAnsi="楷体" w:eastAsia="楷体"/>
        </w:rPr>
        <w:t xml:space="preserve">                                    日期：    年  月  日</w:t>
      </w:r>
      <w:bookmarkEnd w:id="52"/>
      <w:bookmarkEnd w:id="53"/>
      <w:bookmarkEnd w:id="54"/>
      <w:bookmarkEnd w:id="55"/>
      <w:bookmarkEnd w:id="56"/>
      <w:bookmarkStart w:id="57" w:name="_Toc98669375"/>
      <w:bookmarkStart w:id="58" w:name="_Toc92168046"/>
      <w:bookmarkStart w:id="59" w:name="_Toc101264859"/>
      <w:bookmarkStart w:id="60" w:name="_Toc98669733"/>
    </w:p>
    <w:p>
      <w:pPr>
        <w:pStyle w:val="22"/>
        <w:spacing w:line="360" w:lineRule="auto"/>
        <w:jc w:val="center"/>
        <w:rPr>
          <w:rFonts w:ascii="楷体" w:hAnsi="楷体" w:eastAsia="楷体"/>
        </w:rPr>
      </w:pPr>
      <w:r>
        <w:rPr>
          <w:rFonts w:ascii="楷体" w:hAnsi="楷体" w:eastAsia="楷体"/>
          <w:b/>
        </w:rPr>
        <w:br w:type="page"/>
      </w:r>
      <w:r>
        <w:rPr>
          <w:rFonts w:hint="eastAsia" w:ascii="楷体" w:hAnsi="楷体" w:eastAsia="楷体"/>
          <w:b/>
        </w:rPr>
        <w:t>（二）最终（二轮）报价表</w:t>
      </w:r>
    </w:p>
    <w:bookmarkEnd w:id="57"/>
    <w:bookmarkEnd w:id="58"/>
    <w:bookmarkEnd w:id="59"/>
    <w:bookmarkEnd w:id="60"/>
    <w:tbl>
      <w:tblPr>
        <w:tblStyle w:val="55"/>
        <w:tblW w:w="9330" w:type="dxa"/>
        <w:tblInd w:w="288" w:type="dxa"/>
        <w:tblLayout w:type="fixed"/>
        <w:tblCellMar>
          <w:top w:w="0" w:type="dxa"/>
          <w:left w:w="108" w:type="dxa"/>
          <w:bottom w:w="0" w:type="dxa"/>
          <w:right w:w="108" w:type="dxa"/>
        </w:tblCellMar>
      </w:tblPr>
      <w:tblGrid>
        <w:gridCol w:w="3105"/>
        <w:gridCol w:w="6225"/>
      </w:tblGrid>
      <w:tr>
        <w:tblPrEx>
          <w:tblCellMar>
            <w:top w:w="0" w:type="dxa"/>
            <w:left w:w="108" w:type="dxa"/>
            <w:bottom w:w="0" w:type="dxa"/>
            <w:right w:w="108" w:type="dxa"/>
          </w:tblCellMar>
        </w:tblPrEx>
        <w:trPr>
          <w:trHeight w:val="1011" w:hRule="atLeast"/>
        </w:trPr>
        <w:tc>
          <w:tcPr>
            <w:tcW w:w="9330" w:type="dxa"/>
            <w:gridSpan w:val="2"/>
            <w:tcBorders>
              <w:top w:val="nil"/>
              <w:left w:val="nil"/>
              <w:bottom w:val="single" w:color="auto" w:sz="4" w:space="0"/>
              <w:right w:val="nil"/>
            </w:tcBorders>
            <w:vAlign w:val="center"/>
          </w:tcPr>
          <w:p>
            <w:pPr>
              <w:widowControl/>
              <w:spacing w:line="360" w:lineRule="auto"/>
              <w:rPr>
                <w:rFonts w:ascii="楷体" w:hAnsi="楷体" w:eastAsia="楷体" w:cs="宋体"/>
                <w:b/>
                <w:bCs/>
                <w:kern w:val="0"/>
                <w:sz w:val="28"/>
              </w:rPr>
            </w:pPr>
            <w:bookmarkStart w:id="61" w:name="_Toc101264862"/>
            <w:bookmarkStart w:id="62" w:name="_Toc92168048"/>
            <w:r>
              <w:rPr>
                <w:rFonts w:hint="eastAsia" w:ascii="楷体" w:hAnsi="楷体" w:eastAsia="楷体" w:cs="宋体"/>
                <w:b/>
                <w:bCs/>
                <w:kern w:val="0"/>
                <w:sz w:val="28"/>
              </w:rPr>
              <w:t>供应商名称（加盖公章）：</w:t>
            </w:r>
          </w:p>
        </w:tc>
      </w:tr>
      <w:tr>
        <w:tblPrEx>
          <w:tblCellMar>
            <w:top w:w="0" w:type="dxa"/>
            <w:left w:w="108" w:type="dxa"/>
            <w:bottom w:w="0" w:type="dxa"/>
            <w:right w:w="108" w:type="dxa"/>
          </w:tblCellMar>
        </w:tblPrEx>
        <w:trPr>
          <w:trHeight w:val="1675" w:hRule="atLeast"/>
        </w:trPr>
        <w:tc>
          <w:tcPr>
            <w:tcW w:w="31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项目总报价</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834"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项目工期</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1980"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备注</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bl>
    <w:p>
      <w:pPr>
        <w:pStyle w:val="22"/>
        <w:spacing w:line="360" w:lineRule="auto"/>
        <w:ind w:left="405" w:hanging="405" w:hangingChars="192"/>
        <w:rPr>
          <w:rFonts w:ascii="楷体" w:hAnsi="楷体" w:eastAsia="楷体"/>
          <w:b/>
          <w:caps/>
          <w:sz w:val="24"/>
        </w:rPr>
      </w:pPr>
      <w:r>
        <w:rPr>
          <w:rFonts w:hint="eastAsia" w:ascii="楷体" w:hAnsi="楷体" w:eastAsia="楷体"/>
          <w:b/>
          <w:sz w:val="21"/>
          <w:szCs w:val="21"/>
        </w:rPr>
        <w:t>注：</w:t>
      </w:r>
      <w:r>
        <w:rPr>
          <w:rFonts w:hint="eastAsia" w:ascii="楷体" w:hAnsi="楷体" w:eastAsia="楷体"/>
          <w:b/>
          <w:sz w:val="24"/>
        </w:rPr>
        <w:t>1、“总报价”</w:t>
      </w:r>
      <w:r>
        <w:rPr>
          <w:rFonts w:hint="eastAsia" w:ascii="楷体" w:hAnsi="楷体" w:eastAsia="楷体"/>
          <w:b/>
          <w:bCs/>
          <w:sz w:val="24"/>
        </w:rPr>
        <w:t xml:space="preserve"> 包括本次采购要求提供服务本身已支付或将支付的各种税费及所有相关费用。</w:t>
      </w:r>
    </w:p>
    <w:p>
      <w:pPr>
        <w:pStyle w:val="22"/>
        <w:spacing w:line="360" w:lineRule="auto"/>
        <w:ind w:firstLine="472" w:firstLineChars="196"/>
        <w:rPr>
          <w:rFonts w:ascii="楷体" w:hAnsi="楷体" w:eastAsia="楷体"/>
          <w:b/>
          <w:bCs/>
          <w:sz w:val="24"/>
          <w:szCs w:val="24"/>
        </w:rPr>
      </w:pPr>
      <w:r>
        <w:rPr>
          <w:rFonts w:hint="eastAsia" w:ascii="楷体" w:hAnsi="楷体" w:eastAsia="楷体"/>
          <w:b/>
          <w:bCs/>
          <w:sz w:val="24"/>
        </w:rPr>
        <w:t>2、</w:t>
      </w:r>
      <w:r>
        <w:rPr>
          <w:rFonts w:hint="eastAsia" w:ascii="楷体" w:hAnsi="楷体" w:eastAsia="楷体"/>
          <w:b/>
          <w:bCs/>
          <w:sz w:val="24"/>
          <w:szCs w:val="24"/>
        </w:rPr>
        <w:t>供应商</w:t>
      </w:r>
      <w:r>
        <w:rPr>
          <w:rFonts w:hint="eastAsia" w:ascii="楷体" w:hAnsi="楷体" w:eastAsia="楷体"/>
          <w:b/>
          <w:bCs/>
          <w:sz w:val="24"/>
        </w:rPr>
        <w:t>必须据实填具此表，应与磋商文件的有关采购要求一致。</w:t>
      </w:r>
    </w:p>
    <w:p>
      <w:pPr>
        <w:pStyle w:val="22"/>
        <w:spacing w:line="360" w:lineRule="auto"/>
        <w:ind w:left="824" w:leftChars="224" w:hanging="354" w:hangingChars="147"/>
        <w:rPr>
          <w:rFonts w:ascii="楷体" w:hAnsi="楷体" w:eastAsia="楷体"/>
          <w:sz w:val="24"/>
          <w:szCs w:val="24"/>
          <w:u w:val="single"/>
        </w:rPr>
      </w:pPr>
      <w:r>
        <w:rPr>
          <w:rFonts w:hint="eastAsia" w:ascii="楷体" w:hAnsi="楷体" w:eastAsia="楷体"/>
          <w:b/>
          <w:bCs/>
          <w:sz w:val="24"/>
          <w:szCs w:val="24"/>
        </w:rPr>
        <w:t>3、</w:t>
      </w:r>
      <w:r>
        <w:rPr>
          <w:rFonts w:hint="eastAsia" w:ascii="楷体" w:hAnsi="楷体" w:eastAsia="楷体"/>
          <w:b/>
          <w:sz w:val="24"/>
          <w:szCs w:val="24"/>
        </w:rPr>
        <w:t>拟做第二次报价（最后报价）的，要随身携带此</w:t>
      </w:r>
      <w:r>
        <w:rPr>
          <w:rFonts w:hint="eastAsia" w:ascii="楷体" w:hAnsi="楷体" w:eastAsia="楷体"/>
          <w:b/>
          <w:sz w:val="24"/>
          <w:szCs w:val="24"/>
          <w:u w:val="single"/>
        </w:rPr>
        <w:t>报价表一式两份并加盖公章</w:t>
      </w:r>
      <w:r>
        <w:rPr>
          <w:rFonts w:hint="eastAsia" w:ascii="楷体" w:hAnsi="楷体" w:eastAsia="楷体"/>
          <w:b/>
          <w:szCs w:val="28"/>
          <w:u w:val="single"/>
        </w:rPr>
        <w:t>，</w:t>
      </w:r>
      <w:r>
        <w:rPr>
          <w:rFonts w:hint="eastAsia" w:ascii="楷体" w:hAnsi="楷体" w:eastAsia="楷体"/>
          <w:b/>
          <w:sz w:val="24"/>
          <w:szCs w:val="24"/>
        </w:rPr>
        <w:t>以备磋商时填写，作二次报价的以二次报价为准，第二次报价不得超过预算；</w:t>
      </w:r>
      <w:r>
        <w:rPr>
          <w:rFonts w:hint="eastAsia" w:ascii="楷体" w:hAnsi="楷体" w:eastAsia="楷体"/>
          <w:b/>
          <w:sz w:val="24"/>
          <w:szCs w:val="24"/>
          <w:u w:val="single"/>
        </w:rPr>
        <w:t>未加盖供应商公章的，法定代表人或其授权委托代理人未签字的，第二次报价无效。</w:t>
      </w:r>
    </w:p>
    <w:p>
      <w:pPr>
        <w:pStyle w:val="22"/>
        <w:spacing w:line="360" w:lineRule="auto"/>
        <w:ind w:left="824" w:leftChars="224" w:hanging="354" w:hangingChars="147"/>
        <w:rPr>
          <w:rFonts w:ascii="楷体" w:hAnsi="楷体" w:eastAsia="楷体"/>
          <w:b/>
          <w:sz w:val="24"/>
          <w:szCs w:val="24"/>
        </w:rPr>
      </w:pPr>
      <w:r>
        <w:rPr>
          <w:rFonts w:hint="eastAsia" w:ascii="楷体" w:hAnsi="楷体" w:eastAsia="楷体"/>
          <w:b/>
          <w:sz w:val="24"/>
          <w:szCs w:val="24"/>
        </w:rPr>
        <w:t>4、分项单价最终执行的价格以最后报价同首轮报价的比例计算优惠后的分项单价执行。</w:t>
      </w:r>
    </w:p>
    <w:p>
      <w:pPr>
        <w:pStyle w:val="22"/>
        <w:spacing w:line="360" w:lineRule="auto"/>
        <w:ind w:left="470" w:leftChars="224"/>
        <w:rPr>
          <w:rFonts w:ascii="楷体" w:hAnsi="楷体" w:eastAsia="楷体"/>
          <w:b/>
          <w:sz w:val="24"/>
          <w:szCs w:val="24"/>
        </w:rPr>
      </w:pPr>
      <w:r>
        <w:rPr>
          <w:rFonts w:hint="eastAsia" w:ascii="楷体" w:hAnsi="楷体" w:eastAsia="楷体"/>
          <w:b/>
          <w:sz w:val="24"/>
          <w:szCs w:val="24"/>
        </w:rPr>
        <w:t>5、磋商过程中未对磋商内容作出实质性变更、修改的情况下，第二次报价不得超过首轮报价，否则以其首轮报价作为最后报价，如被评定为成交供应商，其首轮报价即为成交价格。</w:t>
      </w:r>
    </w:p>
    <w:p>
      <w:pPr>
        <w:spacing w:line="360" w:lineRule="auto"/>
        <w:rPr>
          <w:rFonts w:ascii="楷体" w:hAnsi="楷体" w:eastAsia="楷体"/>
          <w:sz w:val="28"/>
        </w:rPr>
      </w:pPr>
      <w:r>
        <w:rPr>
          <w:rFonts w:hint="eastAsia" w:ascii="楷体" w:hAnsi="楷体" w:eastAsia="楷体"/>
          <w:sz w:val="28"/>
        </w:rPr>
        <w:t xml:space="preserve">法定代表人或其委托代理人签字：                      </w:t>
      </w:r>
    </w:p>
    <w:p>
      <w:pPr>
        <w:pStyle w:val="22"/>
        <w:spacing w:line="360" w:lineRule="auto"/>
        <w:ind w:left="840" w:hanging="120"/>
        <w:jc w:val="center"/>
        <w:rPr>
          <w:rFonts w:ascii="楷体" w:hAnsi="楷体" w:eastAsia="楷体"/>
        </w:rPr>
      </w:pPr>
      <w:r>
        <w:rPr>
          <w:rFonts w:hint="eastAsia" w:ascii="楷体" w:hAnsi="楷体" w:eastAsia="楷体"/>
        </w:rPr>
        <w:t xml:space="preserve">                                    日期：    年  月  日</w:t>
      </w:r>
    </w:p>
    <w:p>
      <w:pPr>
        <w:widowControl/>
        <w:jc w:val="left"/>
        <w:rPr>
          <w:rFonts w:ascii="楷体" w:hAnsi="楷体" w:eastAsia="楷体"/>
          <w:b/>
          <w:sz w:val="32"/>
          <w:szCs w:val="32"/>
        </w:rPr>
      </w:pPr>
      <w:r>
        <w:rPr>
          <w:rFonts w:ascii="楷体" w:hAnsi="楷体" w:eastAsia="楷体"/>
          <w:b/>
          <w:sz w:val="32"/>
          <w:szCs w:val="32"/>
        </w:rPr>
        <w:br w:type="page"/>
      </w:r>
      <w:r>
        <w:rPr>
          <w:rFonts w:hint="eastAsia" w:ascii="楷体" w:hAnsi="楷体" w:eastAsia="楷体"/>
          <w:b/>
          <w:sz w:val="32"/>
          <w:szCs w:val="32"/>
        </w:rPr>
        <w:t>三、报价明细表</w:t>
      </w:r>
    </w:p>
    <w:tbl>
      <w:tblPr>
        <w:tblStyle w:val="56"/>
        <w:tblW w:w="1074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892"/>
        <w:gridCol w:w="756"/>
        <w:gridCol w:w="908"/>
        <w:gridCol w:w="125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tcPr>
          <w:p>
            <w:pPr>
              <w:jc w:val="center"/>
              <w:rPr>
                <w:color w:val="000000" w:themeColor="text1"/>
                <w:sz w:val="24"/>
              </w:rPr>
            </w:pPr>
            <w:r>
              <w:rPr>
                <w:rFonts w:hint="eastAsia"/>
                <w:color w:val="000000" w:themeColor="text1"/>
                <w:sz w:val="24"/>
              </w:rPr>
              <w:t>序号</w:t>
            </w:r>
          </w:p>
        </w:tc>
        <w:tc>
          <w:tcPr>
            <w:tcW w:w="2410" w:type="dxa"/>
          </w:tcPr>
          <w:p>
            <w:pPr>
              <w:jc w:val="center"/>
              <w:rPr>
                <w:color w:val="000000" w:themeColor="text1"/>
                <w:sz w:val="24"/>
              </w:rPr>
            </w:pPr>
            <w:r>
              <w:rPr>
                <w:rFonts w:hint="eastAsia"/>
                <w:color w:val="000000" w:themeColor="text1"/>
                <w:sz w:val="24"/>
              </w:rPr>
              <w:t>名称</w:t>
            </w:r>
          </w:p>
        </w:tc>
        <w:tc>
          <w:tcPr>
            <w:tcW w:w="2892" w:type="dxa"/>
          </w:tcPr>
          <w:p>
            <w:pPr>
              <w:jc w:val="center"/>
              <w:rPr>
                <w:color w:val="000000" w:themeColor="text1"/>
                <w:sz w:val="24"/>
              </w:rPr>
            </w:pPr>
            <w:r>
              <w:rPr>
                <w:rFonts w:hint="eastAsia"/>
                <w:color w:val="000000" w:themeColor="text1"/>
                <w:sz w:val="24"/>
              </w:rPr>
              <w:t>规格及型号</w:t>
            </w:r>
          </w:p>
        </w:tc>
        <w:tc>
          <w:tcPr>
            <w:tcW w:w="756" w:type="dxa"/>
          </w:tcPr>
          <w:p>
            <w:pPr>
              <w:jc w:val="center"/>
              <w:rPr>
                <w:color w:val="000000" w:themeColor="text1"/>
                <w:sz w:val="24"/>
              </w:rPr>
            </w:pPr>
            <w:r>
              <w:rPr>
                <w:rFonts w:hint="eastAsia"/>
                <w:color w:val="000000" w:themeColor="text1"/>
                <w:sz w:val="24"/>
              </w:rPr>
              <w:t>单位</w:t>
            </w:r>
          </w:p>
        </w:tc>
        <w:tc>
          <w:tcPr>
            <w:tcW w:w="908" w:type="dxa"/>
          </w:tcPr>
          <w:p>
            <w:pPr>
              <w:jc w:val="center"/>
              <w:rPr>
                <w:color w:val="000000" w:themeColor="text1"/>
                <w:sz w:val="24"/>
              </w:rPr>
            </w:pPr>
            <w:r>
              <w:rPr>
                <w:rFonts w:hint="eastAsia"/>
                <w:color w:val="000000" w:themeColor="text1"/>
                <w:sz w:val="24"/>
              </w:rPr>
              <w:t>数量</w:t>
            </w:r>
          </w:p>
        </w:tc>
        <w:tc>
          <w:tcPr>
            <w:tcW w:w="1256" w:type="dxa"/>
          </w:tcPr>
          <w:p>
            <w:pPr>
              <w:jc w:val="center"/>
              <w:rPr>
                <w:color w:val="000000" w:themeColor="text1"/>
                <w:sz w:val="24"/>
              </w:rPr>
            </w:pPr>
            <w:r>
              <w:rPr>
                <w:rFonts w:hint="eastAsia"/>
                <w:color w:val="000000" w:themeColor="text1"/>
                <w:sz w:val="24"/>
              </w:rPr>
              <w:t>单价（元）</w:t>
            </w:r>
          </w:p>
        </w:tc>
        <w:tc>
          <w:tcPr>
            <w:tcW w:w="1811" w:type="dxa"/>
          </w:tcPr>
          <w:p>
            <w:pPr>
              <w:jc w:val="center"/>
              <w:rPr>
                <w:color w:val="000000" w:themeColor="text1"/>
                <w:sz w:val="24"/>
              </w:rPr>
            </w:pPr>
            <w:r>
              <w:rPr>
                <w:rFonts w:hint="eastAsia"/>
                <w:color w:val="000000" w:themeColor="text1"/>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调节池提升泵</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N=0.75k</w:t>
            </w:r>
            <w:r>
              <w:rPr>
                <w:rFonts w:ascii="宋体" w:hAnsi="宋体" w:cs="宋体"/>
                <w:color w:val="000000" w:themeColor="text1"/>
                <w:kern w:val="0"/>
              </w:rPr>
              <w:t xml:space="preserve">W </w:t>
            </w:r>
            <w:r>
              <w:rPr>
                <w:rFonts w:hint="eastAsia" w:ascii="宋体" w:hAnsi="宋体" w:cs="宋体"/>
                <w:color w:val="000000" w:themeColor="text1"/>
                <w:kern w:val="0"/>
              </w:rPr>
              <w:t>铸铁</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2</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MBR出水系统</w:t>
            </w:r>
          </w:p>
        </w:tc>
        <w:tc>
          <w:tcPr>
            <w:tcW w:w="2892" w:type="dxa"/>
            <w:vAlign w:val="center"/>
          </w:tcPr>
          <w:p>
            <w:pPr>
              <w:widowControl/>
              <w:jc w:val="center"/>
              <w:textAlignment w:val="center"/>
              <w:rPr>
                <w:color w:val="000000" w:themeColor="text1"/>
              </w:rPr>
            </w:pPr>
            <w:r>
              <w:rPr>
                <w:rFonts w:hint="eastAsia" w:ascii="宋体" w:hAnsi="宋体" w:cs="宋体"/>
                <w:color w:val="000000" w:themeColor="text1"/>
                <w:kern w:val="0"/>
              </w:rPr>
              <w:t>N=1.5k</w:t>
            </w:r>
            <w:r>
              <w:rPr>
                <w:rFonts w:ascii="宋体" w:hAnsi="宋体" w:cs="宋体"/>
                <w:color w:val="000000" w:themeColor="text1"/>
                <w:kern w:val="0"/>
              </w:rPr>
              <w:t>W</w:t>
            </w:r>
            <w:r>
              <w:rPr>
                <w:rFonts w:hint="eastAsia" w:ascii="宋体" w:hAnsi="宋体" w:cs="宋体"/>
                <w:color w:val="000000" w:themeColor="text1"/>
                <w:kern w:val="0"/>
              </w:rPr>
              <w:t>，</w:t>
            </w:r>
            <w:r>
              <w:rPr>
                <w:rFonts w:hint="eastAsia"/>
                <w:color w:val="000000" w:themeColor="text1"/>
              </w:rPr>
              <w:t>采用无需抽真空出水和恒流量变频出水专利技术，非标定制 不锈钢</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3</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污泥回流与排放系统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N=1.1kW，包括回流泵和管阀控制系统 铸铁</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4</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化学反洗系统泵</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包括加药储药箱、计量泵、反洗水泵、管阀、自控等,利欧/ SEKO</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jc w:val="center"/>
              <w:rPr>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5</w:t>
            </w:r>
          </w:p>
        </w:tc>
        <w:tc>
          <w:tcPr>
            <w:tcW w:w="2410"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硝化液回流泵</w:t>
            </w:r>
          </w:p>
        </w:tc>
        <w:tc>
          <w:tcPr>
            <w:tcW w:w="2892"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Q</w:t>
            </w:r>
            <w:r>
              <w:rPr>
                <w:rFonts w:ascii="宋体" w:hAnsi="宋体" w:cs="宋体"/>
                <w:color w:val="000000" w:themeColor="text1"/>
                <w:kern w:val="0"/>
              </w:rPr>
              <w:t>=18</w:t>
            </w:r>
            <w:r>
              <w:rPr>
                <w:rFonts w:hint="eastAsia" w:ascii="宋体" w:hAnsi="宋体" w:cs="宋体"/>
                <w:color w:val="000000" w:themeColor="text1"/>
                <w:kern w:val="0"/>
              </w:rPr>
              <w:t>m</w:t>
            </w:r>
            <w:r>
              <w:rPr>
                <w:rFonts w:ascii="宋体" w:hAnsi="宋体" w:cs="宋体"/>
                <w:color w:val="000000" w:themeColor="text1"/>
                <w:kern w:val="0"/>
                <w:vertAlign w:val="superscript"/>
              </w:rPr>
              <w:t>3</w:t>
            </w:r>
            <w:r>
              <w:rPr>
                <w:rFonts w:ascii="宋体" w:hAnsi="宋体" w:cs="宋体"/>
                <w:color w:val="000000" w:themeColor="text1"/>
                <w:kern w:val="0"/>
              </w:rPr>
              <w:t>/h H=10</w:t>
            </w:r>
          </w:p>
        </w:tc>
        <w:tc>
          <w:tcPr>
            <w:tcW w:w="756"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908"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6</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除磷加药系统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包括加药储药箱、计量泵、管阀、自控等，计量泵采用SEKO</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jc w:val="center"/>
              <w:rPr>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7</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MBR膜系统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三菱丽阳，PVDF/</w:t>
            </w:r>
            <w:r>
              <w:rPr>
                <w:rFonts w:ascii="宋体" w:hAnsi="宋体" w:cs="宋体"/>
                <w:color w:val="000000" w:themeColor="text1"/>
                <w:kern w:val="0"/>
              </w:rPr>
              <w:t>SS304</w:t>
            </w:r>
            <w:r>
              <w:rPr>
                <w:rFonts w:hint="eastAsia" w:ascii="宋体" w:hAnsi="宋体" w:cs="宋体"/>
                <w:color w:val="000000" w:themeColor="text1"/>
                <w:kern w:val="0"/>
              </w:rPr>
              <w:t>，包括膜组件、膜架、曝气出水管路系统</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8</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风机</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N=5.5kW，变频控制</w:t>
            </w:r>
          </w:p>
        </w:tc>
        <w:tc>
          <w:tcPr>
            <w:tcW w:w="756" w:type="dxa"/>
            <w:vAlign w:val="center"/>
          </w:tcPr>
          <w:p>
            <w:pPr>
              <w:widowControl/>
              <w:jc w:val="center"/>
              <w:textAlignment w:val="center"/>
              <w:rPr>
                <w:rFonts w:ascii="宋体" w:hAnsi="宋体" w:cs="宋体"/>
                <w:color w:val="000000" w:themeColor="text1"/>
              </w:rPr>
            </w:pPr>
            <w:r>
              <w:rPr>
                <w:rFonts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9</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调节池液位计</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0~5m,4~20mA输出</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10</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膜池液位计</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1~15kpa,4~20mA输出</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11</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负压表</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-100~+35Kpa，4~20mA输出</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只</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12</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电磁流量计</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DN65,4~20mA输出,一体型,DC 24V</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13</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紫外线消毒系统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200W，220V，304不锈钢壳体</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14</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UPVC电动阀组及管路系统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U</w:t>
            </w:r>
            <w:r>
              <w:rPr>
                <w:rFonts w:ascii="宋体" w:hAnsi="宋体" w:cs="宋体"/>
                <w:color w:val="000000" w:themeColor="text1"/>
              </w:rPr>
              <w:t>PVC</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3</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15</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铸铁电动阀组及管路系统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铸铁</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16</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曝气系统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非标定制</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17</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生物填料</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组合填料或球形填料</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批</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18</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电气控制系统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主要电气元器件施耐德,西门子S7-200Smart PLC；施耐德ATV310变频器（出水泵），ATV320变频器（风机）,繁易10寸彩色液晶触摸屏</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19</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箱体</w:t>
            </w:r>
          </w:p>
        </w:tc>
        <w:tc>
          <w:tcPr>
            <w:tcW w:w="2892" w:type="dxa"/>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集成一级缺氧池、好氧池、二级缺氧池、MBR膜池、清水池、设备间，</w:t>
            </w:r>
          </w:p>
          <w:p>
            <w:pPr>
              <w:widowControl/>
              <w:jc w:val="center"/>
              <w:textAlignment w:val="center"/>
              <w:rPr>
                <w:rFonts w:ascii="宋体" w:hAnsi="宋体" w:cs="宋体"/>
                <w:color w:val="000000" w:themeColor="text1"/>
              </w:rPr>
            </w:pPr>
            <w:r>
              <w:rPr>
                <w:rFonts w:hint="eastAsia" w:ascii="宋体" w:hAnsi="宋体" w:cs="宋体"/>
                <w:color w:val="000000" w:themeColor="text1"/>
                <w:kern w:val="0"/>
              </w:rPr>
              <w:t>L×W×H=</w:t>
            </w:r>
            <w:r>
              <w:rPr>
                <w:rFonts w:ascii="宋体" w:hAnsi="宋体" w:cs="宋体"/>
                <w:color w:val="000000" w:themeColor="text1"/>
                <w:kern w:val="0"/>
              </w:rPr>
              <w:t>18</w:t>
            </w:r>
            <w:r>
              <w:rPr>
                <w:rFonts w:hint="eastAsia" w:ascii="宋体" w:hAnsi="宋体" w:cs="宋体"/>
                <w:color w:val="000000" w:themeColor="text1"/>
                <w:kern w:val="0"/>
              </w:rPr>
              <w:t>×3×3.5m</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20</w:t>
            </w:r>
          </w:p>
        </w:tc>
        <w:tc>
          <w:tcPr>
            <w:tcW w:w="2410"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安全爬梯</w:t>
            </w:r>
          </w:p>
        </w:tc>
        <w:tc>
          <w:tcPr>
            <w:tcW w:w="2892"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铸铁</w:t>
            </w:r>
          </w:p>
        </w:tc>
        <w:tc>
          <w:tcPr>
            <w:tcW w:w="756"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numPr>
                <w:ilvl w:val="0"/>
                <w:numId w:val="9"/>
              </w:numPr>
              <w:jc w:val="center"/>
              <w:textAlignment w:val="center"/>
              <w:rPr>
                <w:rFonts w:ascii="宋体" w:hAnsi="宋体" w:eastAsia="等线 Light" w:cs="宋体"/>
                <w:b/>
                <w:bCs/>
                <w:color w:val="000000" w:themeColor="text1"/>
                <w:kern w:val="0"/>
              </w:rPr>
            </w:pPr>
          </w:p>
        </w:tc>
        <w:tc>
          <w:tcPr>
            <w:tcW w:w="2410"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300管不锈钢提篮格栅</w:t>
            </w:r>
          </w:p>
        </w:tc>
        <w:tc>
          <w:tcPr>
            <w:tcW w:w="2892"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350*700*250mm，孔径5mm，含导轨</w:t>
            </w:r>
          </w:p>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适用于DN600的粉碎格栅</w:t>
            </w:r>
          </w:p>
        </w:tc>
        <w:tc>
          <w:tcPr>
            <w:tcW w:w="756"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1256" w:type="dxa"/>
            <w:vAlign w:val="center"/>
          </w:tcPr>
          <w:p>
            <w:pPr>
              <w:widowControl/>
              <w:jc w:val="center"/>
              <w:textAlignment w:val="center"/>
              <w:rPr>
                <w:rFonts w:ascii="宋体" w:hAnsi="宋体" w:cs="宋体"/>
                <w:color w:val="000000" w:themeColor="text1"/>
                <w:kern w:val="0"/>
              </w:rPr>
            </w:pPr>
          </w:p>
        </w:tc>
        <w:tc>
          <w:tcPr>
            <w:tcW w:w="1811" w:type="dxa"/>
            <w:vAlign w:val="center"/>
          </w:tcPr>
          <w:p>
            <w:pPr>
              <w:widowControl/>
              <w:jc w:val="center"/>
              <w:textAlignment w:val="center"/>
              <w:rPr>
                <w:rFonts w:ascii="宋体"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1" w:type="dxa"/>
            <w:gridSpan w:val="6"/>
            <w:vAlign w:val="center"/>
          </w:tcPr>
          <w:p>
            <w:pPr>
              <w:rPr>
                <w:color w:val="000000" w:themeColor="text1"/>
                <w:sz w:val="24"/>
              </w:rPr>
            </w:pPr>
            <w:r>
              <w:rPr>
                <w:rFonts w:hint="eastAsia" w:ascii="楷体" w:hAnsi="楷体" w:eastAsia="楷体" w:cs="楷体"/>
                <w:color w:val="000000" w:themeColor="text1"/>
                <w:kern w:val="0"/>
                <w:sz w:val="28"/>
                <w:szCs w:val="28"/>
              </w:rPr>
              <w:t>合计</w:t>
            </w:r>
          </w:p>
        </w:tc>
        <w:tc>
          <w:tcPr>
            <w:tcW w:w="1811" w:type="dxa"/>
          </w:tcPr>
          <w:p>
            <w:pPr>
              <w:rPr>
                <w:color w:val="000000" w:themeColor="text1"/>
                <w:sz w:val="24"/>
              </w:rPr>
            </w:pPr>
          </w:p>
        </w:tc>
      </w:tr>
    </w:tbl>
    <w:p>
      <w:pPr>
        <w:pStyle w:val="23"/>
        <w:snapToGrid w:val="0"/>
        <w:spacing w:line="360" w:lineRule="auto"/>
        <w:ind w:firstLine="4152" w:firstLineChars="1730"/>
        <w:rPr>
          <w:rFonts w:ascii="楷体" w:hAnsi="楷体" w:eastAsia="楷体"/>
          <w:color w:val="FF0000"/>
          <w:sz w:val="24"/>
          <w:szCs w:val="24"/>
        </w:rPr>
      </w:pPr>
    </w:p>
    <w:p>
      <w:pPr>
        <w:widowControl/>
        <w:jc w:val="left"/>
        <w:rPr>
          <w:rFonts w:ascii="楷体" w:hAnsi="楷体" w:eastAsia="楷体"/>
          <w:color w:val="FF0000"/>
          <w:sz w:val="24"/>
        </w:rPr>
      </w:pPr>
    </w:p>
    <w:p>
      <w:pPr>
        <w:pStyle w:val="23"/>
        <w:snapToGrid w:val="0"/>
        <w:spacing w:line="360" w:lineRule="auto"/>
        <w:ind w:firstLine="4152" w:firstLineChars="1730"/>
        <w:rPr>
          <w:rFonts w:ascii="楷体" w:hAnsi="楷体" w:eastAsia="楷体"/>
          <w:color w:val="000000" w:themeColor="text1"/>
          <w:sz w:val="24"/>
          <w:szCs w:val="24"/>
        </w:rPr>
      </w:pPr>
      <w:r>
        <w:rPr>
          <w:rFonts w:hint="eastAsia" w:ascii="楷体" w:hAnsi="楷体" w:eastAsia="楷体"/>
          <w:color w:val="000000" w:themeColor="text1"/>
          <w:sz w:val="24"/>
          <w:szCs w:val="24"/>
        </w:rPr>
        <w:t>供应商（公章）：</w:t>
      </w:r>
    </w:p>
    <w:p>
      <w:pPr>
        <w:pStyle w:val="23"/>
        <w:snapToGrid w:val="0"/>
        <w:spacing w:line="360" w:lineRule="auto"/>
        <w:ind w:firstLine="1800" w:firstLineChars="750"/>
        <w:rPr>
          <w:rFonts w:ascii="楷体" w:hAnsi="楷体" w:eastAsia="楷体"/>
          <w:color w:val="000000" w:themeColor="text1"/>
          <w:sz w:val="24"/>
          <w:szCs w:val="24"/>
        </w:rPr>
      </w:pPr>
      <w:r>
        <w:rPr>
          <w:rFonts w:hint="eastAsia" w:ascii="楷体" w:hAnsi="楷体" w:eastAsia="楷体"/>
          <w:color w:val="000000" w:themeColor="text1"/>
          <w:sz w:val="24"/>
          <w:szCs w:val="24"/>
        </w:rPr>
        <w:t xml:space="preserve">法定代表人或其授权委托代理人签字： </w:t>
      </w:r>
    </w:p>
    <w:p>
      <w:pPr>
        <w:pStyle w:val="23"/>
        <w:snapToGrid w:val="0"/>
        <w:spacing w:line="360" w:lineRule="auto"/>
        <w:ind w:firstLine="1800" w:firstLineChars="750"/>
        <w:jc w:val="center"/>
        <w:rPr>
          <w:rFonts w:ascii="楷体" w:hAnsi="楷体" w:eastAsia="楷体"/>
          <w:color w:val="000000" w:themeColor="text1"/>
          <w:sz w:val="24"/>
          <w:szCs w:val="24"/>
        </w:rPr>
      </w:pPr>
      <w:r>
        <w:rPr>
          <w:rFonts w:hint="eastAsia" w:ascii="楷体" w:hAnsi="楷体" w:eastAsia="楷体"/>
          <w:color w:val="000000" w:themeColor="text1"/>
          <w:sz w:val="24"/>
          <w:szCs w:val="24"/>
        </w:rPr>
        <w:t>日期：  年  月  日</w:t>
      </w: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四、供应商相关信息一览表</w:t>
      </w:r>
    </w:p>
    <w:tbl>
      <w:tblPr>
        <w:tblStyle w:val="5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412"/>
        <w:gridCol w:w="1570"/>
        <w:gridCol w:w="412"/>
        <w:gridCol w:w="402"/>
        <w:gridCol w:w="791"/>
        <w:gridCol w:w="1127"/>
        <w:gridCol w:w="301"/>
        <w:gridCol w:w="96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9" w:type="dxa"/>
            <w:shd w:val="clear" w:color="auto" w:fill="D9D9D9"/>
            <w:vAlign w:val="center"/>
          </w:tcPr>
          <w:p>
            <w:pPr>
              <w:pStyle w:val="7"/>
              <w:ind w:firstLine="0"/>
              <w:jc w:val="center"/>
              <w:rPr>
                <w:rFonts w:ascii="楷体" w:hAnsi="楷体" w:eastAsia="楷体"/>
                <w:b/>
                <w:sz w:val="24"/>
                <w:szCs w:val="24"/>
              </w:rPr>
            </w:pPr>
            <w:r>
              <w:rPr>
                <w:rFonts w:hint="eastAsia" w:ascii="楷体" w:hAnsi="楷体" w:eastAsia="楷体"/>
                <w:b/>
                <w:sz w:val="24"/>
                <w:szCs w:val="24"/>
              </w:rPr>
              <w:t>一</w:t>
            </w:r>
          </w:p>
        </w:tc>
        <w:tc>
          <w:tcPr>
            <w:tcW w:w="8403" w:type="dxa"/>
            <w:gridSpan w:val="9"/>
            <w:shd w:val="clear" w:color="auto" w:fill="D9D9D9"/>
            <w:vAlign w:val="center"/>
          </w:tcPr>
          <w:p>
            <w:pPr>
              <w:pStyle w:val="7"/>
              <w:ind w:firstLine="0"/>
              <w:jc w:val="center"/>
              <w:rPr>
                <w:rFonts w:ascii="楷体" w:hAnsi="楷体" w:eastAsia="楷体"/>
                <w:b/>
                <w:sz w:val="24"/>
                <w:szCs w:val="24"/>
              </w:rPr>
            </w:pPr>
            <w:r>
              <w:rPr>
                <w:rFonts w:hint="eastAsia" w:ascii="楷体" w:hAnsi="楷体" w:eastAsia="楷体"/>
                <w:b/>
                <w:sz w:val="24"/>
                <w:szCs w:val="24"/>
              </w:rPr>
              <w:t>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1</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公司名称</w:t>
            </w:r>
          </w:p>
        </w:tc>
        <w:tc>
          <w:tcPr>
            <w:tcW w:w="6991" w:type="dxa"/>
            <w:gridSpan w:val="8"/>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2</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注册资金</w:t>
            </w:r>
          </w:p>
        </w:tc>
        <w:tc>
          <w:tcPr>
            <w:tcW w:w="1570" w:type="dxa"/>
            <w:vAlign w:val="center"/>
          </w:tcPr>
          <w:p>
            <w:pPr>
              <w:pStyle w:val="7"/>
              <w:ind w:firstLine="0"/>
              <w:jc w:val="center"/>
              <w:rPr>
                <w:rFonts w:ascii="楷体" w:hAnsi="楷体" w:eastAsia="楷体"/>
                <w:sz w:val="24"/>
                <w:szCs w:val="24"/>
              </w:rPr>
            </w:pPr>
          </w:p>
        </w:tc>
        <w:tc>
          <w:tcPr>
            <w:tcW w:w="814" w:type="dxa"/>
            <w:gridSpan w:val="2"/>
            <w:vAlign w:val="center"/>
          </w:tcPr>
          <w:p>
            <w:pPr>
              <w:pStyle w:val="7"/>
              <w:ind w:firstLine="0"/>
              <w:jc w:val="center"/>
              <w:rPr>
                <w:rFonts w:ascii="楷体" w:hAnsi="楷体" w:eastAsia="楷体"/>
                <w:sz w:val="24"/>
                <w:szCs w:val="24"/>
              </w:rPr>
            </w:pPr>
            <w:r>
              <w:rPr>
                <w:rFonts w:hint="eastAsia" w:ascii="楷体" w:hAnsi="楷体" w:eastAsia="楷体"/>
                <w:sz w:val="24"/>
                <w:szCs w:val="24"/>
              </w:rPr>
              <w:t>3</w:t>
            </w:r>
          </w:p>
        </w:tc>
        <w:tc>
          <w:tcPr>
            <w:tcW w:w="2219" w:type="dxa"/>
            <w:gridSpan w:val="3"/>
            <w:vAlign w:val="center"/>
          </w:tcPr>
          <w:p>
            <w:pPr>
              <w:pStyle w:val="7"/>
              <w:ind w:firstLine="0"/>
              <w:jc w:val="center"/>
              <w:rPr>
                <w:rFonts w:ascii="楷体" w:hAnsi="楷体" w:eastAsia="楷体"/>
                <w:sz w:val="24"/>
                <w:szCs w:val="24"/>
              </w:rPr>
            </w:pPr>
            <w:r>
              <w:rPr>
                <w:rFonts w:hint="eastAsia" w:ascii="楷体" w:hAnsi="楷体" w:eastAsia="楷体"/>
                <w:sz w:val="24"/>
                <w:szCs w:val="24"/>
              </w:rPr>
              <w:t>公司地址</w:t>
            </w:r>
          </w:p>
        </w:tc>
        <w:tc>
          <w:tcPr>
            <w:tcW w:w="2388" w:type="dxa"/>
            <w:gridSpan w:val="2"/>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4</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从业人数</w:t>
            </w:r>
          </w:p>
        </w:tc>
        <w:tc>
          <w:tcPr>
            <w:tcW w:w="1570" w:type="dxa"/>
            <w:vAlign w:val="center"/>
          </w:tcPr>
          <w:p>
            <w:pPr>
              <w:pStyle w:val="7"/>
              <w:ind w:firstLine="0"/>
              <w:jc w:val="center"/>
              <w:rPr>
                <w:rFonts w:ascii="楷体" w:hAnsi="楷体" w:eastAsia="楷体"/>
                <w:sz w:val="24"/>
                <w:szCs w:val="24"/>
              </w:rPr>
            </w:pPr>
          </w:p>
        </w:tc>
        <w:tc>
          <w:tcPr>
            <w:tcW w:w="814" w:type="dxa"/>
            <w:gridSpan w:val="2"/>
            <w:vAlign w:val="center"/>
          </w:tcPr>
          <w:p>
            <w:pPr>
              <w:pStyle w:val="7"/>
              <w:ind w:firstLine="0"/>
              <w:jc w:val="center"/>
              <w:rPr>
                <w:rFonts w:ascii="楷体" w:hAnsi="楷体" w:eastAsia="楷体"/>
                <w:sz w:val="24"/>
                <w:szCs w:val="24"/>
              </w:rPr>
            </w:pPr>
            <w:r>
              <w:rPr>
                <w:rFonts w:hint="eastAsia" w:ascii="楷体" w:hAnsi="楷体" w:eastAsia="楷体"/>
                <w:sz w:val="24"/>
                <w:szCs w:val="24"/>
              </w:rPr>
              <w:t>5</w:t>
            </w:r>
          </w:p>
        </w:tc>
        <w:tc>
          <w:tcPr>
            <w:tcW w:w="2219" w:type="dxa"/>
            <w:gridSpan w:val="3"/>
            <w:vAlign w:val="center"/>
          </w:tcPr>
          <w:p>
            <w:pPr>
              <w:pStyle w:val="7"/>
              <w:ind w:firstLine="0"/>
              <w:jc w:val="center"/>
              <w:rPr>
                <w:rFonts w:ascii="楷体" w:hAnsi="楷体" w:eastAsia="楷体"/>
                <w:sz w:val="24"/>
                <w:szCs w:val="24"/>
              </w:rPr>
            </w:pPr>
            <w:r>
              <w:rPr>
                <w:rFonts w:hint="eastAsia" w:ascii="楷体" w:hAnsi="楷体" w:eastAsia="楷体"/>
                <w:sz w:val="24"/>
                <w:szCs w:val="24"/>
              </w:rPr>
              <w:t>法定代表人</w:t>
            </w:r>
          </w:p>
        </w:tc>
        <w:tc>
          <w:tcPr>
            <w:tcW w:w="2388" w:type="dxa"/>
            <w:gridSpan w:val="2"/>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6</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开户银行</w:t>
            </w:r>
          </w:p>
        </w:tc>
        <w:tc>
          <w:tcPr>
            <w:tcW w:w="1570" w:type="dxa"/>
            <w:vAlign w:val="center"/>
          </w:tcPr>
          <w:p>
            <w:pPr>
              <w:pStyle w:val="7"/>
              <w:ind w:firstLine="0"/>
              <w:jc w:val="center"/>
              <w:rPr>
                <w:rFonts w:ascii="楷体" w:hAnsi="楷体" w:eastAsia="楷体"/>
                <w:sz w:val="24"/>
                <w:szCs w:val="24"/>
              </w:rPr>
            </w:pPr>
          </w:p>
        </w:tc>
        <w:tc>
          <w:tcPr>
            <w:tcW w:w="814" w:type="dxa"/>
            <w:gridSpan w:val="2"/>
            <w:vAlign w:val="center"/>
          </w:tcPr>
          <w:p>
            <w:pPr>
              <w:pStyle w:val="7"/>
              <w:ind w:firstLine="0"/>
              <w:jc w:val="center"/>
              <w:rPr>
                <w:rFonts w:ascii="楷体" w:hAnsi="楷体" w:eastAsia="楷体"/>
                <w:sz w:val="24"/>
                <w:szCs w:val="24"/>
              </w:rPr>
            </w:pPr>
            <w:r>
              <w:rPr>
                <w:rFonts w:hint="eastAsia" w:ascii="楷体" w:hAnsi="楷体" w:eastAsia="楷体"/>
                <w:sz w:val="24"/>
                <w:szCs w:val="24"/>
              </w:rPr>
              <w:t>7</w:t>
            </w:r>
          </w:p>
        </w:tc>
        <w:tc>
          <w:tcPr>
            <w:tcW w:w="2219" w:type="dxa"/>
            <w:gridSpan w:val="3"/>
            <w:vAlign w:val="center"/>
          </w:tcPr>
          <w:p>
            <w:pPr>
              <w:pStyle w:val="7"/>
              <w:ind w:firstLine="0"/>
              <w:jc w:val="center"/>
              <w:rPr>
                <w:rFonts w:ascii="楷体" w:hAnsi="楷体" w:eastAsia="楷体"/>
                <w:sz w:val="24"/>
                <w:szCs w:val="24"/>
              </w:rPr>
            </w:pPr>
            <w:r>
              <w:rPr>
                <w:rFonts w:hint="eastAsia" w:ascii="楷体" w:hAnsi="楷体" w:eastAsia="楷体"/>
                <w:sz w:val="24"/>
                <w:szCs w:val="24"/>
              </w:rPr>
              <w:t>账号</w:t>
            </w:r>
          </w:p>
        </w:tc>
        <w:tc>
          <w:tcPr>
            <w:tcW w:w="2388" w:type="dxa"/>
            <w:gridSpan w:val="2"/>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79" w:type="dxa"/>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8</w:t>
            </w:r>
          </w:p>
        </w:tc>
        <w:tc>
          <w:tcPr>
            <w:tcW w:w="1412" w:type="dxa"/>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项目联系人</w:t>
            </w:r>
          </w:p>
        </w:tc>
        <w:tc>
          <w:tcPr>
            <w:tcW w:w="1570" w:type="dxa"/>
            <w:tcBorders>
              <w:bottom w:val="single" w:color="auto" w:sz="4" w:space="0"/>
            </w:tcBorders>
            <w:vAlign w:val="center"/>
          </w:tcPr>
          <w:p>
            <w:pPr>
              <w:pStyle w:val="7"/>
              <w:ind w:firstLine="0"/>
              <w:jc w:val="center"/>
              <w:rPr>
                <w:rFonts w:ascii="楷体" w:hAnsi="楷体" w:eastAsia="楷体"/>
                <w:sz w:val="24"/>
                <w:szCs w:val="24"/>
              </w:rPr>
            </w:pPr>
          </w:p>
        </w:tc>
        <w:tc>
          <w:tcPr>
            <w:tcW w:w="814" w:type="dxa"/>
            <w:gridSpan w:val="2"/>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9</w:t>
            </w:r>
          </w:p>
        </w:tc>
        <w:tc>
          <w:tcPr>
            <w:tcW w:w="2219" w:type="dxa"/>
            <w:gridSpan w:val="3"/>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联系电话</w:t>
            </w:r>
          </w:p>
        </w:tc>
        <w:tc>
          <w:tcPr>
            <w:tcW w:w="2388" w:type="dxa"/>
            <w:gridSpan w:val="2"/>
            <w:tcBorders>
              <w:bottom w:val="single" w:color="auto" w:sz="4" w:space="0"/>
            </w:tcBorders>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79" w:type="dxa"/>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二</w:t>
            </w:r>
          </w:p>
        </w:tc>
        <w:tc>
          <w:tcPr>
            <w:tcW w:w="8403" w:type="dxa"/>
            <w:gridSpan w:val="9"/>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提供本项目履行合同所必须的设备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序号</w:t>
            </w:r>
          </w:p>
        </w:tc>
        <w:tc>
          <w:tcPr>
            <w:tcW w:w="3394" w:type="dxa"/>
            <w:gridSpan w:val="3"/>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品牌、型号及主要参数配置简述</w:t>
            </w:r>
          </w:p>
        </w:tc>
        <w:tc>
          <w:tcPr>
            <w:tcW w:w="1193" w:type="dxa"/>
            <w:gridSpan w:val="2"/>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购置年份</w:t>
            </w:r>
          </w:p>
        </w:tc>
        <w:tc>
          <w:tcPr>
            <w:tcW w:w="1127"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价格</w:t>
            </w:r>
          </w:p>
        </w:tc>
        <w:tc>
          <w:tcPr>
            <w:tcW w:w="1265" w:type="dxa"/>
            <w:gridSpan w:val="2"/>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数量</w:t>
            </w:r>
          </w:p>
        </w:tc>
        <w:tc>
          <w:tcPr>
            <w:tcW w:w="1424"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1</w:t>
            </w:r>
          </w:p>
        </w:tc>
        <w:tc>
          <w:tcPr>
            <w:tcW w:w="3394" w:type="dxa"/>
            <w:gridSpan w:val="3"/>
            <w:shd w:val="clear" w:color="auto" w:fill="FFFFFF"/>
            <w:vAlign w:val="center"/>
          </w:tcPr>
          <w:p>
            <w:pPr>
              <w:pStyle w:val="7"/>
              <w:ind w:firstLine="0"/>
              <w:jc w:val="center"/>
              <w:rPr>
                <w:rFonts w:ascii="楷体" w:hAnsi="楷体" w:eastAsia="楷体"/>
                <w:b/>
                <w:sz w:val="24"/>
                <w:szCs w:val="24"/>
              </w:rPr>
            </w:pPr>
          </w:p>
        </w:tc>
        <w:tc>
          <w:tcPr>
            <w:tcW w:w="1193" w:type="dxa"/>
            <w:gridSpan w:val="2"/>
            <w:shd w:val="clear" w:color="auto" w:fill="FFFFFF"/>
            <w:vAlign w:val="center"/>
          </w:tcPr>
          <w:p>
            <w:pPr>
              <w:pStyle w:val="7"/>
              <w:ind w:firstLine="0"/>
              <w:jc w:val="center"/>
              <w:rPr>
                <w:rFonts w:ascii="楷体" w:hAnsi="楷体" w:eastAsia="楷体"/>
                <w:b/>
                <w:sz w:val="24"/>
                <w:szCs w:val="24"/>
              </w:rPr>
            </w:pPr>
          </w:p>
        </w:tc>
        <w:tc>
          <w:tcPr>
            <w:tcW w:w="1127" w:type="dxa"/>
            <w:shd w:val="clear" w:color="auto" w:fill="FFFFFF"/>
            <w:vAlign w:val="center"/>
          </w:tcPr>
          <w:p>
            <w:pPr>
              <w:pStyle w:val="7"/>
              <w:ind w:firstLine="0"/>
              <w:jc w:val="center"/>
              <w:rPr>
                <w:rFonts w:ascii="楷体" w:hAnsi="楷体" w:eastAsia="楷体"/>
                <w:b/>
                <w:sz w:val="24"/>
                <w:szCs w:val="24"/>
              </w:rPr>
            </w:pPr>
          </w:p>
        </w:tc>
        <w:tc>
          <w:tcPr>
            <w:tcW w:w="1265" w:type="dxa"/>
            <w:gridSpan w:val="2"/>
            <w:shd w:val="clear" w:color="auto" w:fill="FFFFFF"/>
            <w:vAlign w:val="center"/>
          </w:tcPr>
          <w:p>
            <w:pPr>
              <w:pStyle w:val="7"/>
              <w:ind w:firstLine="0"/>
              <w:jc w:val="center"/>
              <w:rPr>
                <w:rFonts w:ascii="楷体" w:hAnsi="楷体" w:eastAsia="楷体"/>
                <w:b/>
                <w:sz w:val="24"/>
                <w:szCs w:val="24"/>
              </w:rPr>
            </w:pPr>
          </w:p>
        </w:tc>
        <w:tc>
          <w:tcPr>
            <w:tcW w:w="1424" w:type="dxa"/>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2</w:t>
            </w:r>
          </w:p>
        </w:tc>
        <w:tc>
          <w:tcPr>
            <w:tcW w:w="3394" w:type="dxa"/>
            <w:gridSpan w:val="3"/>
            <w:shd w:val="clear" w:color="auto" w:fill="FFFFFF"/>
            <w:vAlign w:val="center"/>
          </w:tcPr>
          <w:p>
            <w:pPr>
              <w:pStyle w:val="7"/>
              <w:ind w:firstLine="0"/>
              <w:jc w:val="center"/>
              <w:rPr>
                <w:rFonts w:ascii="楷体" w:hAnsi="楷体" w:eastAsia="楷体"/>
                <w:b/>
                <w:sz w:val="24"/>
                <w:szCs w:val="24"/>
              </w:rPr>
            </w:pPr>
          </w:p>
        </w:tc>
        <w:tc>
          <w:tcPr>
            <w:tcW w:w="1193" w:type="dxa"/>
            <w:gridSpan w:val="2"/>
            <w:shd w:val="clear" w:color="auto" w:fill="FFFFFF"/>
            <w:vAlign w:val="center"/>
          </w:tcPr>
          <w:p>
            <w:pPr>
              <w:pStyle w:val="7"/>
              <w:ind w:firstLine="0"/>
              <w:jc w:val="center"/>
              <w:rPr>
                <w:rFonts w:ascii="楷体" w:hAnsi="楷体" w:eastAsia="楷体"/>
                <w:b/>
                <w:sz w:val="24"/>
                <w:szCs w:val="24"/>
              </w:rPr>
            </w:pPr>
          </w:p>
        </w:tc>
        <w:tc>
          <w:tcPr>
            <w:tcW w:w="1127" w:type="dxa"/>
            <w:shd w:val="clear" w:color="auto" w:fill="FFFFFF"/>
            <w:vAlign w:val="center"/>
          </w:tcPr>
          <w:p>
            <w:pPr>
              <w:pStyle w:val="7"/>
              <w:ind w:firstLine="0"/>
              <w:jc w:val="center"/>
              <w:rPr>
                <w:rFonts w:ascii="楷体" w:hAnsi="楷体" w:eastAsia="楷体"/>
                <w:b/>
                <w:sz w:val="24"/>
                <w:szCs w:val="24"/>
              </w:rPr>
            </w:pPr>
          </w:p>
        </w:tc>
        <w:tc>
          <w:tcPr>
            <w:tcW w:w="1265" w:type="dxa"/>
            <w:gridSpan w:val="2"/>
            <w:shd w:val="clear" w:color="auto" w:fill="FFFFFF"/>
            <w:vAlign w:val="center"/>
          </w:tcPr>
          <w:p>
            <w:pPr>
              <w:pStyle w:val="7"/>
              <w:ind w:firstLine="0"/>
              <w:jc w:val="center"/>
              <w:rPr>
                <w:rFonts w:ascii="楷体" w:hAnsi="楷体" w:eastAsia="楷体"/>
                <w:b/>
                <w:sz w:val="24"/>
                <w:szCs w:val="24"/>
              </w:rPr>
            </w:pPr>
          </w:p>
        </w:tc>
        <w:tc>
          <w:tcPr>
            <w:tcW w:w="1424" w:type="dxa"/>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3</w:t>
            </w:r>
          </w:p>
        </w:tc>
        <w:tc>
          <w:tcPr>
            <w:tcW w:w="3394" w:type="dxa"/>
            <w:gridSpan w:val="3"/>
            <w:shd w:val="clear" w:color="auto" w:fill="FFFFFF"/>
            <w:vAlign w:val="center"/>
          </w:tcPr>
          <w:p>
            <w:pPr>
              <w:pStyle w:val="7"/>
              <w:ind w:firstLine="0"/>
              <w:jc w:val="center"/>
              <w:rPr>
                <w:rFonts w:ascii="楷体" w:hAnsi="楷体" w:eastAsia="楷体"/>
                <w:b/>
                <w:sz w:val="24"/>
                <w:szCs w:val="24"/>
              </w:rPr>
            </w:pPr>
          </w:p>
        </w:tc>
        <w:tc>
          <w:tcPr>
            <w:tcW w:w="1193" w:type="dxa"/>
            <w:gridSpan w:val="2"/>
            <w:shd w:val="clear" w:color="auto" w:fill="FFFFFF"/>
            <w:vAlign w:val="center"/>
          </w:tcPr>
          <w:p>
            <w:pPr>
              <w:pStyle w:val="7"/>
              <w:ind w:firstLine="0"/>
              <w:jc w:val="center"/>
              <w:rPr>
                <w:rFonts w:ascii="楷体" w:hAnsi="楷体" w:eastAsia="楷体"/>
                <w:b/>
                <w:sz w:val="24"/>
                <w:szCs w:val="24"/>
              </w:rPr>
            </w:pPr>
          </w:p>
        </w:tc>
        <w:tc>
          <w:tcPr>
            <w:tcW w:w="1127" w:type="dxa"/>
            <w:shd w:val="clear" w:color="auto" w:fill="FFFFFF"/>
            <w:vAlign w:val="center"/>
          </w:tcPr>
          <w:p>
            <w:pPr>
              <w:pStyle w:val="7"/>
              <w:ind w:firstLine="0"/>
              <w:jc w:val="center"/>
              <w:rPr>
                <w:rFonts w:ascii="楷体" w:hAnsi="楷体" w:eastAsia="楷体"/>
                <w:b/>
                <w:sz w:val="24"/>
                <w:szCs w:val="24"/>
              </w:rPr>
            </w:pPr>
          </w:p>
        </w:tc>
        <w:tc>
          <w:tcPr>
            <w:tcW w:w="1265" w:type="dxa"/>
            <w:gridSpan w:val="2"/>
            <w:shd w:val="clear" w:color="auto" w:fill="FFFFFF"/>
            <w:vAlign w:val="center"/>
          </w:tcPr>
          <w:p>
            <w:pPr>
              <w:pStyle w:val="7"/>
              <w:ind w:firstLine="0"/>
              <w:jc w:val="center"/>
              <w:rPr>
                <w:rFonts w:ascii="楷体" w:hAnsi="楷体" w:eastAsia="楷体"/>
                <w:b/>
                <w:sz w:val="24"/>
                <w:szCs w:val="24"/>
              </w:rPr>
            </w:pPr>
          </w:p>
        </w:tc>
        <w:tc>
          <w:tcPr>
            <w:tcW w:w="1424" w:type="dxa"/>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79" w:type="dxa"/>
            <w:tcBorders>
              <w:bottom w:val="single" w:color="auto" w:sz="4" w:space="0"/>
            </w:tcBorders>
            <w:shd w:val="clear" w:color="auto" w:fill="FFFFFF"/>
            <w:vAlign w:val="center"/>
          </w:tcPr>
          <w:p>
            <w:pPr>
              <w:pStyle w:val="7"/>
              <w:ind w:firstLine="0"/>
              <w:jc w:val="center"/>
              <w:rPr>
                <w:rFonts w:ascii="楷体" w:hAnsi="楷体" w:eastAsia="楷体"/>
                <w:b/>
                <w:sz w:val="24"/>
                <w:szCs w:val="24"/>
              </w:rPr>
            </w:pPr>
            <w:r>
              <w:rPr>
                <w:rFonts w:ascii="楷体" w:hAnsi="楷体" w:eastAsia="楷体"/>
                <w:b/>
                <w:sz w:val="24"/>
                <w:szCs w:val="24"/>
              </w:rPr>
              <w:t>…</w:t>
            </w:r>
          </w:p>
        </w:tc>
        <w:tc>
          <w:tcPr>
            <w:tcW w:w="3394" w:type="dxa"/>
            <w:gridSpan w:val="3"/>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193" w:type="dxa"/>
            <w:gridSpan w:val="2"/>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127" w:type="dxa"/>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265" w:type="dxa"/>
            <w:gridSpan w:val="2"/>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424" w:type="dxa"/>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三</w:t>
            </w:r>
          </w:p>
        </w:tc>
        <w:tc>
          <w:tcPr>
            <w:tcW w:w="8403" w:type="dxa"/>
            <w:gridSpan w:val="9"/>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提供本项目所必须的专业技术能力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582" w:type="dxa"/>
            <w:gridSpan w:val="10"/>
            <w:shd w:val="clear" w:color="auto" w:fill="FFFFFF"/>
            <w:vAlign w:val="center"/>
          </w:tcPr>
          <w:p>
            <w:pPr>
              <w:pStyle w:val="7"/>
              <w:ind w:firstLine="0"/>
              <w:jc w:val="center"/>
              <w:rPr>
                <w:rFonts w:ascii="楷体" w:hAnsi="楷体" w:eastAsia="楷体"/>
                <w:b/>
                <w:sz w:val="24"/>
                <w:szCs w:val="24"/>
              </w:rPr>
            </w:pPr>
          </w:p>
        </w:tc>
      </w:tr>
    </w:tbl>
    <w:p>
      <w:pPr>
        <w:widowControl/>
        <w:jc w:val="left"/>
        <w:rPr>
          <w:rFonts w:ascii="楷体" w:hAnsi="楷体" w:eastAsia="楷体"/>
          <w:b/>
          <w:bCs/>
          <w:sz w:val="32"/>
        </w:rPr>
      </w:pPr>
      <w:bookmarkStart w:id="63" w:name="_Toc100386082"/>
      <w:bookmarkStart w:id="64" w:name="_Toc92168050"/>
    </w:p>
    <w:p>
      <w:pPr>
        <w:widowControl/>
        <w:jc w:val="left"/>
        <w:rPr>
          <w:rFonts w:ascii="楷体" w:hAnsi="楷体" w:eastAsia="楷体"/>
          <w:b/>
          <w:bCs/>
          <w:sz w:val="32"/>
        </w:rPr>
      </w:pPr>
      <w:r>
        <w:rPr>
          <w:rFonts w:ascii="楷体" w:hAnsi="楷体" w:eastAsia="楷体"/>
          <w:b/>
          <w:bCs/>
          <w:sz w:val="32"/>
        </w:rPr>
        <w:br w:type="page"/>
      </w:r>
    </w:p>
    <w:p>
      <w:pPr>
        <w:spacing w:line="360" w:lineRule="auto"/>
        <w:jc w:val="center"/>
        <w:rPr>
          <w:rFonts w:ascii="楷体" w:hAnsi="楷体" w:eastAsia="楷体"/>
          <w:b/>
          <w:bCs/>
          <w:sz w:val="32"/>
        </w:rPr>
      </w:pPr>
      <w:r>
        <w:rPr>
          <w:rFonts w:hint="eastAsia" w:ascii="楷体" w:hAnsi="楷体" w:eastAsia="楷体"/>
          <w:b/>
          <w:bCs/>
          <w:sz w:val="32"/>
        </w:rPr>
        <w:t>五、本项目组织管理架构及主要参与人员情况介绍</w:t>
      </w:r>
    </w:p>
    <w:p>
      <w:pPr>
        <w:spacing w:line="360" w:lineRule="auto"/>
        <w:jc w:val="center"/>
        <w:rPr>
          <w:rFonts w:ascii="楷体" w:hAnsi="楷体" w:eastAsia="楷体"/>
          <w:b/>
          <w:bCs/>
          <w:sz w:val="28"/>
          <w:szCs w:val="28"/>
        </w:rPr>
      </w:pPr>
      <w:r>
        <w:rPr>
          <w:rFonts w:hint="eastAsia" w:ascii="楷体" w:hAnsi="楷体" w:eastAsia="楷体"/>
          <w:b/>
          <w:sz w:val="28"/>
          <w:szCs w:val="28"/>
        </w:rPr>
        <w:t>（一）本</w:t>
      </w:r>
      <w:r>
        <w:rPr>
          <w:rFonts w:hint="eastAsia" w:ascii="楷体" w:hAnsi="楷体" w:eastAsia="楷体"/>
          <w:b/>
          <w:bCs/>
          <w:sz w:val="28"/>
          <w:szCs w:val="28"/>
        </w:rPr>
        <w:t>项目组织实施方案</w:t>
      </w:r>
    </w:p>
    <w:p>
      <w:pPr>
        <w:spacing w:line="360" w:lineRule="auto"/>
        <w:jc w:val="left"/>
        <w:rPr>
          <w:ins w:id="0" w:author="Administrator" w:date="2019-11-17T20:03:00Z"/>
          <w:rFonts w:ascii="楷体" w:hAnsi="楷体" w:eastAsia="楷体"/>
          <w:b/>
          <w:bCs/>
          <w:sz w:val="30"/>
          <w:szCs w:val="30"/>
        </w:rPr>
      </w:pPr>
      <w:r>
        <w:rPr>
          <w:rFonts w:hint="eastAsia" w:ascii="楷体" w:hAnsi="楷体" w:eastAsia="楷体"/>
          <w:b/>
          <w:bCs/>
          <w:sz w:val="28"/>
          <w:szCs w:val="28"/>
        </w:rPr>
        <w:t>格式自拟，由各供应商根据自身企业及本项目特点，对其组织管理架构进行描述。</w:t>
      </w:r>
    </w:p>
    <w:p>
      <w:pPr>
        <w:spacing w:beforeLines="50" w:afterLines="100"/>
        <w:jc w:val="center"/>
        <w:rPr>
          <w:rFonts w:ascii="楷体" w:hAnsi="楷体" w:eastAsia="楷体"/>
          <w:b/>
          <w:bCs/>
          <w:sz w:val="30"/>
          <w:szCs w:val="30"/>
        </w:rPr>
      </w:pPr>
      <w:r>
        <w:rPr>
          <w:rFonts w:hint="eastAsia" w:ascii="楷体" w:hAnsi="楷体" w:eastAsia="楷体"/>
          <w:b/>
          <w:bCs/>
          <w:sz w:val="30"/>
          <w:szCs w:val="30"/>
        </w:rPr>
        <w:t>（二）本项目拟投入人员配备一览表</w:t>
      </w:r>
    </w:p>
    <w:tbl>
      <w:tblPr>
        <w:tblStyle w:val="55"/>
        <w:tblW w:w="92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303"/>
        <w:gridCol w:w="1837"/>
        <w:gridCol w:w="980"/>
        <w:gridCol w:w="1496"/>
        <w:gridCol w:w="2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序号</w:t>
            </w:r>
          </w:p>
        </w:tc>
        <w:tc>
          <w:tcPr>
            <w:tcW w:w="1303"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姓名</w:t>
            </w:r>
          </w:p>
        </w:tc>
        <w:tc>
          <w:tcPr>
            <w:tcW w:w="1837"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身份证号</w:t>
            </w:r>
          </w:p>
        </w:tc>
        <w:tc>
          <w:tcPr>
            <w:tcW w:w="980"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人员</w:t>
            </w:r>
          </w:p>
          <w:p>
            <w:pPr>
              <w:pStyle w:val="7"/>
              <w:ind w:firstLine="0"/>
              <w:jc w:val="center"/>
              <w:rPr>
                <w:rFonts w:ascii="楷体" w:hAnsi="楷体" w:eastAsia="楷体"/>
                <w:sz w:val="24"/>
                <w:szCs w:val="24"/>
              </w:rPr>
            </w:pPr>
            <w:r>
              <w:rPr>
                <w:rFonts w:hint="eastAsia" w:ascii="楷体" w:hAnsi="楷体" w:eastAsia="楷体"/>
                <w:sz w:val="24"/>
                <w:szCs w:val="24"/>
              </w:rPr>
              <w:t>类别</w:t>
            </w:r>
          </w:p>
        </w:tc>
        <w:tc>
          <w:tcPr>
            <w:tcW w:w="1496"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技术证书名称与级别</w:t>
            </w:r>
          </w:p>
        </w:tc>
        <w:tc>
          <w:tcPr>
            <w:tcW w:w="2790"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类似工作经验</w:t>
            </w:r>
          </w:p>
          <w:p>
            <w:pPr>
              <w:pStyle w:val="7"/>
              <w:ind w:firstLine="0"/>
              <w:jc w:val="center"/>
              <w:rPr>
                <w:rFonts w:ascii="楷体" w:hAnsi="楷体" w:eastAsia="楷体"/>
                <w:bCs/>
                <w:sz w:val="24"/>
                <w:szCs w:val="24"/>
              </w:rPr>
            </w:pPr>
            <w:r>
              <w:rPr>
                <w:rFonts w:hint="eastAsia" w:ascii="楷体" w:hAnsi="楷体" w:eastAsia="楷体"/>
                <w:bCs/>
                <w:sz w:val="24"/>
                <w:szCs w:val="24"/>
              </w:rPr>
              <w:t>及技术专长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1</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2</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3</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4</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5</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6</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bl>
    <w:p>
      <w:pPr>
        <w:pStyle w:val="7"/>
        <w:spacing w:beforeLines="50"/>
        <w:ind w:left="-17" w:firstLine="0"/>
        <w:rPr>
          <w:rFonts w:ascii="楷体" w:hAnsi="楷体" w:eastAsia="楷体"/>
          <w:b/>
          <w:bCs/>
          <w:sz w:val="24"/>
        </w:rPr>
      </w:pPr>
    </w:p>
    <w:p>
      <w:pPr>
        <w:pStyle w:val="7"/>
        <w:spacing w:beforeLines="50"/>
        <w:ind w:left="-17" w:firstLine="0"/>
        <w:rPr>
          <w:rFonts w:ascii="楷体" w:hAnsi="楷体" w:eastAsia="楷体"/>
          <w:b/>
          <w:bCs/>
          <w:sz w:val="24"/>
        </w:rPr>
      </w:pPr>
    </w:p>
    <w:p>
      <w:pPr>
        <w:spacing w:beforeLines="150" w:afterLines="150" w:line="360" w:lineRule="auto"/>
        <w:jc w:val="center"/>
        <w:rPr>
          <w:rFonts w:ascii="楷体" w:hAnsi="楷体" w:eastAsia="楷体"/>
          <w:b/>
          <w:bCs/>
          <w:sz w:val="24"/>
        </w:rPr>
      </w:pPr>
      <w:r>
        <w:rPr>
          <w:rFonts w:hint="eastAsia" w:ascii="楷体" w:hAnsi="楷体" w:eastAsia="楷体"/>
          <w:b/>
          <w:sz w:val="30"/>
          <w:szCs w:val="30"/>
        </w:rPr>
        <w:t>（三）</w:t>
      </w:r>
      <w:r>
        <w:rPr>
          <w:rFonts w:hint="eastAsia" w:ascii="楷体" w:hAnsi="楷体" w:eastAsia="楷体"/>
          <w:b/>
          <w:bCs/>
          <w:sz w:val="30"/>
          <w:szCs w:val="30"/>
        </w:rPr>
        <w:t>拟派本项目负责人情况简介</w:t>
      </w:r>
    </w:p>
    <w:tbl>
      <w:tblPr>
        <w:tblStyle w:val="5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757"/>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69" w:type="dxa"/>
            <w:tcBorders>
              <w:top w:val="single" w:color="auto" w:sz="12"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姓名</w:t>
            </w:r>
          </w:p>
        </w:tc>
        <w:tc>
          <w:tcPr>
            <w:tcW w:w="1757" w:type="dxa"/>
            <w:tcBorders>
              <w:top w:val="single" w:color="auto" w:sz="12"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tcBorders>
              <w:top w:val="single" w:color="auto" w:sz="12" w:space="0"/>
              <w:left w:val="single" w:color="auto" w:sz="4" w:space="0"/>
              <w:bottom w:val="single" w:color="auto" w:sz="4" w:space="0"/>
              <w:right w:val="single" w:color="auto" w:sz="12"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近3年工作业绩及承担的主要工作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性别</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restart"/>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年龄</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职称</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毕业时间</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所学专业</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学历</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证书名称</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其他专业资质</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联系电话</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469" w:type="dxa"/>
            <w:tcBorders>
              <w:top w:val="single" w:color="auto" w:sz="4" w:space="0"/>
              <w:left w:val="single" w:color="auto" w:sz="12" w:space="0"/>
              <w:bottom w:val="single" w:color="auto" w:sz="12"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曾担任项目负责人的项目</w:t>
            </w:r>
          </w:p>
        </w:tc>
        <w:tc>
          <w:tcPr>
            <w:tcW w:w="7113" w:type="dxa"/>
            <w:gridSpan w:val="2"/>
            <w:tcBorders>
              <w:top w:val="single" w:color="auto" w:sz="4" w:space="0"/>
              <w:left w:val="single" w:color="auto" w:sz="4" w:space="0"/>
              <w:bottom w:val="single" w:color="auto" w:sz="12" w:space="0"/>
              <w:right w:val="single" w:color="auto" w:sz="12" w:space="0"/>
            </w:tcBorders>
            <w:vAlign w:val="center"/>
          </w:tcPr>
          <w:p>
            <w:pPr>
              <w:pStyle w:val="7"/>
              <w:ind w:left="-15" w:firstLine="2534" w:firstLineChars="1056"/>
              <w:rPr>
                <w:rFonts w:ascii="楷体" w:hAnsi="楷体" w:eastAsia="楷体"/>
                <w:bCs/>
                <w:sz w:val="24"/>
                <w:szCs w:val="24"/>
              </w:rPr>
            </w:pPr>
          </w:p>
        </w:tc>
      </w:tr>
      <w:bookmarkEnd w:id="63"/>
      <w:bookmarkEnd w:id="64"/>
    </w:tbl>
    <w:p>
      <w:pPr>
        <w:pStyle w:val="3"/>
        <w:keepNext w:val="0"/>
        <w:keepLines w:val="0"/>
        <w:ind w:left="210" w:leftChars="100"/>
        <w:rPr>
          <w:rFonts w:ascii="楷体" w:hAnsi="楷体" w:eastAsia="楷体"/>
          <w:sz w:val="28"/>
          <w:szCs w:val="28"/>
        </w:rPr>
      </w:pPr>
      <w:r>
        <w:rPr>
          <w:rFonts w:hint="eastAsia" w:ascii="楷体" w:hAnsi="楷体" w:eastAsia="楷体"/>
          <w:sz w:val="28"/>
          <w:szCs w:val="28"/>
        </w:rPr>
        <w:t>六、技术方案</w:t>
      </w:r>
    </w:p>
    <w:p>
      <w:pPr>
        <w:snapToGrid w:val="0"/>
        <w:spacing w:before="19" w:line="360" w:lineRule="auto"/>
        <w:ind w:firstLine="480" w:firstLineChars="200"/>
        <w:jc w:val="center"/>
        <w:rPr>
          <w:rFonts w:ascii="楷体" w:hAnsi="楷体" w:eastAsia="楷体"/>
          <w:bCs/>
          <w:sz w:val="24"/>
        </w:rPr>
      </w:pPr>
      <w:r>
        <w:rPr>
          <w:rFonts w:hint="eastAsia" w:ascii="楷体" w:hAnsi="楷体" w:eastAsia="楷体"/>
          <w:bCs/>
          <w:sz w:val="24"/>
        </w:rPr>
        <w:t>格式自拟，按照磋商文件要求编制。</w:t>
      </w:r>
    </w:p>
    <w:p>
      <w:pPr>
        <w:snapToGrid w:val="0"/>
        <w:spacing w:before="19" w:line="360" w:lineRule="auto"/>
        <w:ind w:firstLine="482" w:firstLineChars="200"/>
        <w:jc w:val="center"/>
        <w:rPr>
          <w:rFonts w:ascii="宋体" w:hAnsi="宋体"/>
          <w:b/>
          <w:sz w:val="24"/>
        </w:rPr>
      </w:pPr>
    </w:p>
    <w:p>
      <w:pPr>
        <w:pStyle w:val="3"/>
        <w:keepNext w:val="0"/>
        <w:keepLines w:val="0"/>
        <w:ind w:left="210" w:leftChars="100"/>
        <w:rPr>
          <w:rFonts w:ascii="楷体" w:hAnsi="楷体" w:eastAsia="楷体"/>
          <w:sz w:val="28"/>
          <w:szCs w:val="28"/>
        </w:rPr>
      </w:pPr>
      <w:r>
        <w:rPr>
          <w:rFonts w:hint="eastAsia" w:ascii="楷体" w:hAnsi="楷体" w:eastAsia="楷体"/>
          <w:sz w:val="28"/>
          <w:szCs w:val="28"/>
        </w:rPr>
        <w:t>七、服务承诺</w:t>
      </w:r>
    </w:p>
    <w:p>
      <w:pPr>
        <w:snapToGrid w:val="0"/>
        <w:spacing w:before="19" w:line="360" w:lineRule="auto"/>
        <w:ind w:firstLine="480" w:firstLineChars="200"/>
        <w:jc w:val="left"/>
        <w:rPr>
          <w:rFonts w:ascii="楷体" w:hAnsi="楷体" w:eastAsia="楷体"/>
          <w:bCs/>
          <w:sz w:val="24"/>
        </w:rPr>
      </w:pPr>
      <w:r>
        <w:rPr>
          <w:rFonts w:hint="eastAsia" w:ascii="楷体" w:hAnsi="楷体" w:eastAsia="楷体"/>
          <w:bCs/>
          <w:sz w:val="24"/>
        </w:rPr>
        <w:t>各格式由供应商自定，如对谈判文件中的服务要求中的各项条款能够接受的，供应商必须在磋商响应文件“服务承诺”中逐条进行响应和表述，其他与服务相关的承诺及优惠条件随后填写；</w:t>
      </w:r>
    </w:p>
    <w:p>
      <w:pPr>
        <w:snapToGrid w:val="0"/>
        <w:spacing w:before="19" w:line="360" w:lineRule="auto"/>
        <w:ind w:firstLine="480" w:firstLineChars="200"/>
        <w:jc w:val="center"/>
        <w:rPr>
          <w:rFonts w:ascii="楷体" w:hAnsi="楷体" w:eastAsia="楷体"/>
          <w:bCs/>
          <w:sz w:val="24"/>
        </w:rPr>
      </w:pPr>
    </w:p>
    <w:p>
      <w:pPr>
        <w:snapToGrid w:val="0"/>
        <w:spacing w:before="19" w:line="360" w:lineRule="auto"/>
        <w:ind w:firstLine="562" w:firstLineChars="200"/>
        <w:jc w:val="center"/>
        <w:rPr>
          <w:rFonts w:ascii="楷体" w:hAnsi="楷体" w:eastAsia="楷体"/>
          <w:b/>
          <w:bCs/>
          <w:sz w:val="28"/>
          <w:szCs w:val="28"/>
        </w:rPr>
      </w:pPr>
      <w:r>
        <w:rPr>
          <w:rFonts w:hint="eastAsia" w:ascii="楷体" w:hAnsi="楷体" w:eastAsia="楷体"/>
          <w:b/>
          <w:bCs/>
          <w:sz w:val="28"/>
          <w:szCs w:val="28"/>
        </w:rPr>
        <w:t>八、企业情况简介</w:t>
      </w:r>
    </w:p>
    <w:p>
      <w:pPr>
        <w:snapToGrid w:val="0"/>
        <w:spacing w:before="19" w:line="360" w:lineRule="auto"/>
        <w:ind w:firstLine="480" w:firstLineChars="200"/>
        <w:jc w:val="center"/>
        <w:rPr>
          <w:rFonts w:ascii="楷体" w:hAnsi="楷体" w:eastAsia="楷体"/>
          <w:bCs/>
          <w:sz w:val="24"/>
        </w:rPr>
      </w:pPr>
      <w:r>
        <w:rPr>
          <w:rFonts w:hint="eastAsia" w:ascii="楷体" w:hAnsi="楷体" w:eastAsia="楷体"/>
          <w:bCs/>
          <w:sz w:val="24"/>
        </w:rPr>
        <w:t>供应商自行介绍本公司情况。</w:t>
      </w:r>
    </w:p>
    <w:p>
      <w:pPr>
        <w:snapToGrid w:val="0"/>
        <w:spacing w:before="19" w:line="360" w:lineRule="auto"/>
        <w:ind w:firstLine="480" w:firstLineChars="200"/>
        <w:jc w:val="center"/>
        <w:rPr>
          <w:rFonts w:ascii="楷体" w:hAnsi="楷体" w:eastAsia="楷体"/>
          <w:bCs/>
          <w:sz w:val="24"/>
        </w:rPr>
      </w:pPr>
    </w:p>
    <w:p>
      <w:pPr>
        <w:snapToGrid w:val="0"/>
        <w:spacing w:before="19" w:line="360" w:lineRule="auto"/>
        <w:ind w:firstLine="480" w:firstLineChars="200"/>
        <w:jc w:val="center"/>
        <w:rPr>
          <w:rFonts w:ascii="楷体" w:hAnsi="楷体" w:eastAsia="楷体"/>
          <w:bCs/>
          <w:sz w:val="24"/>
        </w:rPr>
      </w:pPr>
    </w:p>
    <w:p>
      <w:pPr>
        <w:snapToGrid w:val="0"/>
        <w:spacing w:before="19" w:line="360" w:lineRule="auto"/>
        <w:ind w:firstLine="562" w:firstLineChars="200"/>
        <w:jc w:val="center"/>
        <w:rPr>
          <w:rFonts w:ascii="楷体" w:hAnsi="楷体" w:eastAsia="楷体"/>
          <w:b/>
          <w:bCs/>
          <w:sz w:val="28"/>
          <w:szCs w:val="28"/>
        </w:rPr>
      </w:pPr>
      <w:r>
        <w:rPr>
          <w:rFonts w:hint="eastAsia" w:ascii="楷体" w:hAnsi="楷体" w:eastAsia="楷体"/>
          <w:b/>
          <w:bCs/>
          <w:sz w:val="28"/>
          <w:szCs w:val="28"/>
        </w:rPr>
        <w:t>九、供应商需要提供的证明材料</w:t>
      </w:r>
    </w:p>
    <w:p>
      <w:pPr>
        <w:spacing w:line="480" w:lineRule="exact"/>
        <w:rPr>
          <w:rFonts w:ascii="楷体" w:hAnsi="楷体" w:eastAsia="楷体"/>
          <w:sz w:val="24"/>
        </w:rPr>
      </w:pPr>
      <w:r>
        <w:rPr>
          <w:rFonts w:hint="eastAsia" w:ascii="楷体" w:hAnsi="楷体" w:eastAsia="楷体"/>
          <w:sz w:val="24"/>
        </w:rPr>
        <w:t>1.营业执照（复印件</w:t>
      </w:r>
      <w:r>
        <w:rPr>
          <w:rFonts w:hint="eastAsia" w:ascii="楷体" w:hAnsi="楷体" w:eastAsia="楷体"/>
          <w:b/>
          <w:sz w:val="24"/>
          <w:szCs w:val="28"/>
        </w:rPr>
        <w:t>加盖公章</w:t>
      </w:r>
      <w:r>
        <w:rPr>
          <w:rFonts w:hint="eastAsia" w:ascii="楷体" w:hAnsi="楷体" w:eastAsia="楷体"/>
          <w:sz w:val="24"/>
        </w:rPr>
        <w:t>）；</w:t>
      </w:r>
    </w:p>
    <w:p>
      <w:pPr>
        <w:spacing w:line="480" w:lineRule="exact"/>
        <w:rPr>
          <w:rFonts w:ascii="楷体" w:hAnsi="楷体" w:eastAsia="楷体"/>
          <w:sz w:val="24"/>
        </w:rPr>
      </w:pPr>
      <w:r>
        <w:rPr>
          <w:rFonts w:hint="eastAsia" w:ascii="楷体" w:hAnsi="楷体" w:eastAsia="楷体"/>
          <w:sz w:val="24"/>
        </w:rPr>
        <w:t>2.法人授权委托书、法定代表人身份证明书（原件</w:t>
      </w:r>
      <w:r>
        <w:rPr>
          <w:rFonts w:hint="eastAsia" w:ascii="楷体" w:hAnsi="楷体" w:eastAsia="楷体"/>
          <w:sz w:val="24"/>
          <w:szCs w:val="28"/>
        </w:rPr>
        <w:t>，格式见P</w:t>
      </w:r>
      <w:ins w:id="1" w:author="Administrator" w:date="2019-11-17T18:50:00Z">
        <w:r>
          <w:rPr>
            <w:rFonts w:hint="eastAsia" w:ascii="楷体" w:hAnsi="楷体" w:eastAsia="楷体"/>
            <w:sz w:val="24"/>
            <w:szCs w:val="28"/>
          </w:rPr>
          <w:t>4</w:t>
        </w:r>
      </w:ins>
      <w:r>
        <w:rPr>
          <w:rFonts w:hint="eastAsia" w:ascii="楷体" w:hAnsi="楷体" w:eastAsia="楷体"/>
          <w:sz w:val="24"/>
          <w:szCs w:val="28"/>
        </w:rPr>
        <w:t>0、P</w:t>
      </w:r>
      <w:ins w:id="2" w:author="Administrator" w:date="2019-11-17T18:50:00Z">
        <w:r>
          <w:rPr>
            <w:rFonts w:hint="eastAsia" w:ascii="楷体" w:hAnsi="楷体" w:eastAsia="楷体"/>
            <w:sz w:val="24"/>
            <w:szCs w:val="28"/>
          </w:rPr>
          <w:t>4</w:t>
        </w:r>
      </w:ins>
      <w:r>
        <w:rPr>
          <w:rFonts w:hint="eastAsia" w:ascii="楷体" w:hAnsi="楷体" w:eastAsia="楷体"/>
          <w:sz w:val="24"/>
          <w:szCs w:val="28"/>
        </w:rPr>
        <w:t>1</w:t>
      </w:r>
      <w:ins w:id="3" w:author="Administrator" w:date="2019-11-17T18:51:00Z">
        <w:r>
          <w:rPr>
            <w:rFonts w:hint="eastAsia" w:ascii="楷体" w:hAnsi="楷体" w:eastAsia="楷体"/>
            <w:sz w:val="24"/>
            <w:szCs w:val="28"/>
          </w:rPr>
          <w:t>页</w:t>
        </w:r>
      </w:ins>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3.具有良好的商业信誉和健全的财务会计制度（提供2019年度财务状况报告，成立不满一年的需提供至少一个月财务状况报告复印件</w:t>
      </w:r>
      <w:r>
        <w:rPr>
          <w:rFonts w:hint="eastAsia" w:ascii="楷体" w:hAnsi="楷体" w:eastAsia="楷体"/>
          <w:b/>
          <w:sz w:val="24"/>
          <w:szCs w:val="28"/>
        </w:rPr>
        <w:t>加盖公章</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4．依法缴纳税收和社会保障资金相关材料(提供参加本次政府采购活动前半年内（至少一个月）依法缴纳税收和社会保障资金的相关材料复印件</w:t>
      </w:r>
      <w:r>
        <w:rPr>
          <w:rFonts w:hint="eastAsia" w:ascii="楷体" w:hAnsi="楷体" w:eastAsia="楷体"/>
          <w:b/>
          <w:sz w:val="24"/>
          <w:szCs w:val="28"/>
        </w:rPr>
        <w:t>加盖公章</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5.供应商是小、微企业的，请提供中小企业申明函（原件，</w:t>
      </w:r>
      <w:r>
        <w:rPr>
          <w:rFonts w:hint="eastAsia" w:ascii="楷体" w:hAnsi="楷体" w:eastAsia="楷体"/>
          <w:sz w:val="24"/>
          <w:szCs w:val="28"/>
        </w:rPr>
        <w:t>格式见</w:t>
      </w:r>
      <w:ins w:id="4" w:author="Administrator" w:date="2019-11-17T18:51:00Z">
        <w:r>
          <w:rPr>
            <w:rFonts w:hint="eastAsia" w:ascii="楷体" w:hAnsi="楷体" w:eastAsia="楷体"/>
            <w:sz w:val="24"/>
            <w:szCs w:val="28"/>
          </w:rPr>
          <w:t>P</w:t>
        </w:r>
      </w:ins>
      <w:r>
        <w:rPr>
          <w:rFonts w:hint="eastAsia" w:ascii="楷体" w:hAnsi="楷体" w:eastAsia="楷体"/>
          <w:sz w:val="24"/>
          <w:szCs w:val="28"/>
        </w:rPr>
        <w:t>42页</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6. 2017年1月1日以来（以签订合同时间为准）有类似项目成功案例（提供合同等证明文件复印件</w:t>
      </w:r>
      <w:r>
        <w:rPr>
          <w:rFonts w:hint="eastAsia" w:ascii="楷体" w:hAnsi="楷体" w:eastAsia="楷体"/>
          <w:b/>
          <w:sz w:val="24"/>
          <w:szCs w:val="28"/>
        </w:rPr>
        <w:t>加盖公章</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7.项目要求的其他相关材料（成功案例等）及供应商认为有需要提供的其它材料。</w:t>
      </w:r>
    </w:p>
    <w:p>
      <w:pPr>
        <w:spacing w:line="460" w:lineRule="exact"/>
        <w:rPr>
          <w:rFonts w:ascii="楷体" w:hAnsi="楷体" w:eastAsia="楷体"/>
          <w:bCs/>
          <w:sz w:val="24"/>
        </w:rPr>
      </w:pPr>
      <w:r>
        <w:rPr>
          <w:rFonts w:ascii="楷体" w:hAnsi="楷体" w:eastAsia="楷体"/>
          <w:sz w:val="24"/>
        </w:rPr>
        <w:br w:type="page"/>
      </w:r>
    </w:p>
    <w:p>
      <w:pPr>
        <w:pStyle w:val="7"/>
        <w:spacing w:line="360" w:lineRule="auto"/>
        <w:ind w:firstLine="0"/>
        <w:jc w:val="center"/>
        <w:rPr>
          <w:rFonts w:ascii="楷体" w:hAnsi="楷体" w:eastAsia="楷体"/>
          <w:b/>
          <w:sz w:val="32"/>
          <w:szCs w:val="32"/>
        </w:rPr>
      </w:pPr>
      <w:r>
        <w:rPr>
          <w:rFonts w:hint="eastAsia" w:ascii="楷体" w:hAnsi="楷体" w:eastAsia="楷体"/>
          <w:b/>
          <w:sz w:val="32"/>
          <w:szCs w:val="32"/>
        </w:rPr>
        <w:t>十、法人授权委托书</w:t>
      </w:r>
    </w:p>
    <w:p>
      <w:pPr>
        <w:pStyle w:val="4"/>
        <w:keepNext w:val="0"/>
        <w:keepLines w:val="0"/>
        <w:spacing w:line="360" w:lineRule="auto"/>
        <w:jc w:val="center"/>
        <w:rPr>
          <w:rFonts w:ascii="楷体" w:hAnsi="楷体" w:eastAsia="楷体"/>
          <w:sz w:val="28"/>
        </w:rPr>
      </w:pPr>
    </w:p>
    <w:p>
      <w:pPr>
        <w:spacing w:line="360" w:lineRule="auto"/>
        <w:ind w:firstLine="480"/>
        <w:rPr>
          <w:rFonts w:ascii="楷体" w:hAnsi="楷体" w:eastAsia="楷体"/>
          <w:sz w:val="28"/>
        </w:rPr>
      </w:pPr>
      <w:r>
        <w:rPr>
          <w:rFonts w:hint="eastAsia" w:ascii="楷体" w:hAnsi="楷体" w:eastAsia="楷体"/>
          <w:sz w:val="28"/>
        </w:rPr>
        <w:t>本授权书声明：</w:t>
      </w:r>
      <w:r>
        <w:rPr>
          <w:rFonts w:hint="eastAsia" w:ascii="楷体" w:hAnsi="楷体" w:eastAsia="楷体"/>
          <w:sz w:val="28"/>
          <w:u w:val="single"/>
        </w:rPr>
        <w:t xml:space="preserve">  （磋商供应商名称）   </w:t>
      </w:r>
      <w:r>
        <w:rPr>
          <w:rFonts w:hint="eastAsia" w:ascii="楷体" w:hAnsi="楷体" w:eastAsia="楷体"/>
          <w:sz w:val="28"/>
        </w:rPr>
        <w:t>的法定代表人</w:t>
      </w:r>
      <w:r>
        <w:rPr>
          <w:rFonts w:hint="eastAsia" w:ascii="楷体" w:hAnsi="楷体" w:eastAsia="楷体"/>
          <w:sz w:val="28"/>
          <w:u w:val="single"/>
        </w:rPr>
        <w:t xml:space="preserve">（姓名） </w:t>
      </w:r>
      <w:r>
        <w:rPr>
          <w:rFonts w:hint="eastAsia" w:ascii="楷体" w:hAnsi="楷体" w:eastAsia="楷体"/>
          <w:sz w:val="28"/>
        </w:rPr>
        <w:t>授权</w:t>
      </w:r>
      <w:r>
        <w:rPr>
          <w:rFonts w:hint="eastAsia" w:ascii="楷体" w:hAnsi="楷体" w:eastAsia="楷体"/>
          <w:sz w:val="28"/>
          <w:u w:val="single"/>
        </w:rPr>
        <w:t xml:space="preserve">  （委托代理人的姓名、职务） 为</w:t>
      </w:r>
      <w:r>
        <w:rPr>
          <w:rFonts w:hint="eastAsia" w:ascii="楷体" w:hAnsi="楷体" w:eastAsia="楷体"/>
          <w:sz w:val="28"/>
        </w:rPr>
        <w:t>我方就江苏省华厦工程项目管理有限公司HCZJ－（2020）商字第03号</w:t>
      </w:r>
      <w:r>
        <w:rPr>
          <w:rFonts w:hint="eastAsia" w:ascii="楷体" w:hAnsi="楷体" w:eastAsia="楷体"/>
          <w:bCs/>
          <w:sz w:val="28"/>
        </w:rPr>
        <w:t>项目</w:t>
      </w:r>
      <w:r>
        <w:rPr>
          <w:rFonts w:hint="eastAsia" w:ascii="楷体" w:hAnsi="楷体" w:eastAsia="楷体"/>
          <w:sz w:val="28"/>
        </w:rPr>
        <w:t>的磋商活动的合法代理人，以本公司名义全权处理一切与该项目磋商有关的事务（含合同签订）。</w:t>
      </w:r>
    </w:p>
    <w:p>
      <w:pPr>
        <w:tabs>
          <w:tab w:val="left" w:pos="5560"/>
        </w:tabs>
        <w:spacing w:line="360" w:lineRule="auto"/>
        <w:ind w:firstLine="646"/>
        <w:rPr>
          <w:rFonts w:ascii="楷体" w:hAnsi="楷体" w:eastAsia="楷体"/>
          <w:sz w:val="28"/>
        </w:rPr>
      </w:pPr>
      <w:r>
        <w:rPr>
          <w:rFonts w:hint="eastAsia" w:ascii="楷体" w:hAnsi="楷体" w:eastAsia="楷体"/>
          <w:sz w:val="28"/>
        </w:rPr>
        <w:tab/>
      </w:r>
    </w:p>
    <w:p>
      <w:pPr>
        <w:spacing w:line="360" w:lineRule="auto"/>
        <w:rPr>
          <w:rFonts w:ascii="楷体" w:hAnsi="楷体" w:eastAsia="楷体"/>
          <w:sz w:val="28"/>
        </w:rPr>
      </w:pPr>
      <w:r>
        <w:rPr>
          <w:rFonts w:hint="eastAsia" w:ascii="楷体" w:hAnsi="楷体" w:eastAsia="楷体"/>
          <w:sz w:val="28"/>
        </w:rPr>
        <w:t>本授权书于  年  月   日签字生效，特此声明。</w:t>
      </w:r>
    </w:p>
    <w:p>
      <w:pPr>
        <w:spacing w:line="360" w:lineRule="auto"/>
        <w:ind w:firstLine="645"/>
        <w:rPr>
          <w:rFonts w:ascii="楷体" w:hAnsi="楷体" w:eastAsia="楷体"/>
          <w:sz w:val="28"/>
        </w:rPr>
      </w:pPr>
    </w:p>
    <w:p>
      <w:pPr>
        <w:spacing w:line="360" w:lineRule="auto"/>
        <w:rPr>
          <w:rFonts w:ascii="楷体" w:hAnsi="楷体" w:eastAsia="楷体"/>
          <w:sz w:val="28"/>
          <w:u w:val="single"/>
        </w:rPr>
      </w:pPr>
      <w:r>
        <w:rPr>
          <w:rFonts w:hint="eastAsia" w:ascii="楷体" w:hAnsi="楷体" w:eastAsia="楷体"/>
          <w:sz w:val="28"/>
        </w:rPr>
        <w:t>法定代表人签字或盖章</w:t>
      </w:r>
      <w:r>
        <w:rPr>
          <w:rFonts w:hint="eastAsia" w:ascii="楷体" w:hAnsi="楷体" w:eastAsia="楷体"/>
          <w:sz w:val="28"/>
          <w:u w:val="single"/>
        </w:rPr>
        <w:t xml:space="preserve">：                        </w:t>
      </w:r>
    </w:p>
    <w:p>
      <w:pPr>
        <w:spacing w:line="360" w:lineRule="auto"/>
        <w:rPr>
          <w:rFonts w:ascii="楷体" w:hAnsi="楷体" w:eastAsia="楷体"/>
          <w:sz w:val="28"/>
          <w:u w:val="single"/>
        </w:rPr>
      </w:pPr>
      <w:r>
        <w:rPr>
          <w:rFonts w:hint="eastAsia" w:ascii="楷体" w:hAnsi="楷体" w:eastAsia="楷体"/>
          <w:sz w:val="28"/>
        </w:rPr>
        <w:t xml:space="preserve">          职    务</w:t>
      </w:r>
      <w:r>
        <w:rPr>
          <w:rFonts w:hint="eastAsia" w:ascii="楷体" w:hAnsi="楷体" w:eastAsia="楷体"/>
          <w:sz w:val="28"/>
          <w:u w:val="single"/>
        </w:rPr>
        <w:t xml:space="preserve">：                        </w:t>
      </w:r>
    </w:p>
    <w:p>
      <w:pPr>
        <w:spacing w:line="360" w:lineRule="auto"/>
        <w:rPr>
          <w:rFonts w:ascii="楷体" w:hAnsi="楷体" w:eastAsia="楷体"/>
          <w:sz w:val="28"/>
        </w:rPr>
      </w:pPr>
    </w:p>
    <w:p>
      <w:pPr>
        <w:spacing w:line="360" w:lineRule="auto"/>
        <w:rPr>
          <w:rFonts w:ascii="楷体" w:hAnsi="楷体" w:eastAsia="楷体"/>
          <w:sz w:val="28"/>
          <w:u w:val="single"/>
        </w:rPr>
      </w:pPr>
    </w:p>
    <w:p>
      <w:pPr>
        <w:spacing w:line="360" w:lineRule="auto"/>
        <w:rPr>
          <w:rFonts w:ascii="楷体" w:hAnsi="楷体" w:eastAsia="楷体"/>
          <w:sz w:val="28"/>
        </w:rPr>
      </w:pPr>
      <w:r>
        <w:rPr>
          <w:rFonts w:hint="eastAsia" w:ascii="楷体" w:hAnsi="楷体" w:eastAsia="楷体"/>
          <w:sz w:val="28"/>
        </w:rPr>
        <w:t>委托代理人（被授权人）签字</w:t>
      </w:r>
      <w:r>
        <w:rPr>
          <w:rFonts w:hint="eastAsia" w:ascii="楷体" w:hAnsi="楷体" w:eastAsia="楷体"/>
          <w:sz w:val="28"/>
          <w:u w:val="single"/>
        </w:rPr>
        <w:t xml:space="preserve">：              </w:t>
      </w:r>
    </w:p>
    <w:p>
      <w:pPr>
        <w:spacing w:line="360" w:lineRule="auto"/>
        <w:rPr>
          <w:rFonts w:ascii="楷体" w:hAnsi="楷体" w:eastAsia="楷体"/>
          <w:sz w:val="28"/>
        </w:rPr>
      </w:pPr>
      <w:r>
        <w:rPr>
          <w:rFonts w:hint="eastAsia" w:ascii="楷体" w:hAnsi="楷体" w:eastAsia="楷体"/>
          <w:sz w:val="28"/>
        </w:rPr>
        <w:t xml:space="preserve">         职    务</w:t>
      </w:r>
      <w:r>
        <w:rPr>
          <w:rFonts w:hint="eastAsia" w:ascii="楷体" w:hAnsi="楷体" w:eastAsia="楷体"/>
          <w:sz w:val="28"/>
          <w:u w:val="single"/>
        </w:rPr>
        <w:t xml:space="preserve">：                        </w:t>
      </w:r>
    </w:p>
    <w:p>
      <w:pPr>
        <w:pStyle w:val="32"/>
        <w:spacing w:line="360" w:lineRule="auto"/>
        <w:ind w:left="5250"/>
        <w:rPr>
          <w:rFonts w:ascii="楷体" w:hAnsi="楷体" w:eastAsia="楷体"/>
          <w:sz w:val="28"/>
        </w:rPr>
      </w:pPr>
    </w:p>
    <w:p>
      <w:pPr>
        <w:spacing w:line="360" w:lineRule="auto"/>
        <w:rPr>
          <w:rFonts w:ascii="楷体" w:hAnsi="楷体" w:eastAsia="楷体"/>
          <w:sz w:val="28"/>
        </w:rPr>
      </w:pPr>
      <w:r>
        <w:rPr>
          <w:rFonts w:hint="eastAsia" w:ascii="楷体" w:hAnsi="楷体" w:eastAsia="楷体"/>
          <w:sz w:val="28"/>
        </w:rPr>
        <w:t>磋商供应商名称（公章）：</w:t>
      </w:r>
    </w:p>
    <w:p>
      <w:pPr>
        <w:spacing w:line="360" w:lineRule="auto"/>
        <w:rPr>
          <w:rFonts w:ascii="楷体" w:hAnsi="楷体" w:eastAsia="楷体"/>
          <w:sz w:val="28"/>
        </w:rPr>
      </w:pPr>
    </w:p>
    <w:p>
      <w:pPr>
        <w:spacing w:line="360" w:lineRule="auto"/>
        <w:rPr>
          <w:rFonts w:ascii="楷体" w:hAnsi="楷体" w:eastAsia="楷体"/>
          <w:sz w:val="28"/>
          <w:u w:val="single"/>
        </w:rPr>
      </w:pPr>
      <w:r>
        <w:rPr>
          <w:rFonts w:hint="eastAsia" w:ascii="楷体" w:hAnsi="楷体" w:eastAsia="楷体"/>
          <w:sz w:val="28"/>
        </w:rPr>
        <w:t>日     期：</w:t>
      </w:r>
    </w:p>
    <w:p>
      <w:pPr>
        <w:spacing w:line="360" w:lineRule="auto"/>
        <w:rPr>
          <w:rFonts w:ascii="楷体" w:hAnsi="楷体" w:eastAsia="楷体"/>
          <w:sz w:val="28"/>
          <w:u w:val="single"/>
        </w:rPr>
      </w:pPr>
      <w:r>
        <w:rPr>
          <w:rFonts w:hint="eastAsia" w:ascii="楷体" w:hAnsi="楷体" w:eastAsia="楷体"/>
          <w:b/>
          <w:sz w:val="32"/>
          <w:szCs w:val="32"/>
        </w:rPr>
        <w:t>附：委托代理人居民身份证复印件</w:t>
      </w:r>
    </w:p>
    <w:p>
      <w:pPr>
        <w:spacing w:line="360" w:lineRule="auto"/>
        <w:rPr>
          <w:rFonts w:ascii="楷体" w:hAnsi="楷体" w:eastAsia="楷体"/>
          <w:b/>
          <w:sz w:val="32"/>
          <w:szCs w:val="32"/>
        </w:rPr>
      </w:pPr>
      <w:r>
        <w:rPr>
          <w:rFonts w:hint="eastAsia" w:ascii="楷体" w:hAnsi="楷体" w:eastAsia="楷体"/>
          <w:sz w:val="28"/>
          <w:szCs w:val="28"/>
          <w:u w:val="single"/>
        </w:rPr>
        <w:t>注：“法定代表人”授权其他人（必须为供应商正式员工，证明材料：社保交纳材料附后）磋商响应的，需填写法定代表人身份证明书和本委托书</w:t>
      </w:r>
      <w:r>
        <w:rPr>
          <w:rFonts w:hint="eastAsia" w:ascii="楷体" w:hAnsi="楷体" w:eastAsia="楷体"/>
          <w:sz w:val="28"/>
        </w:rPr>
        <w:t>。</w:t>
      </w:r>
      <w:r>
        <w:rPr>
          <w:rFonts w:hint="eastAsia" w:ascii="楷体" w:hAnsi="楷体" w:eastAsia="楷体"/>
          <w:sz w:val="28"/>
          <w:szCs w:val="28"/>
          <w:u w:val="single"/>
        </w:rPr>
        <w:t>委托代理人个人居民身份证携带备查。</w:t>
      </w:r>
      <w:r>
        <w:rPr>
          <w:rFonts w:ascii="楷体" w:hAnsi="楷体" w:eastAsia="楷体"/>
          <w:b/>
          <w:sz w:val="32"/>
          <w:szCs w:val="32"/>
        </w:rPr>
        <w:br w:type="page"/>
      </w:r>
    </w:p>
    <w:p>
      <w:pPr>
        <w:spacing w:line="360" w:lineRule="auto"/>
        <w:jc w:val="center"/>
        <w:rPr>
          <w:rFonts w:ascii="楷体" w:hAnsi="楷体" w:eastAsia="楷体"/>
          <w:b/>
          <w:sz w:val="32"/>
          <w:szCs w:val="32"/>
        </w:rPr>
      </w:pPr>
      <w:r>
        <w:rPr>
          <w:rFonts w:hint="eastAsia" w:ascii="楷体" w:hAnsi="楷体" w:eastAsia="楷体"/>
          <w:b/>
          <w:sz w:val="32"/>
          <w:szCs w:val="32"/>
        </w:rPr>
        <w:t>十一、法定代表人身份证明书（格式）</w:t>
      </w:r>
    </w:p>
    <w:p>
      <w:pPr>
        <w:spacing w:line="360" w:lineRule="auto"/>
        <w:jc w:val="center"/>
        <w:rPr>
          <w:rFonts w:ascii="楷体" w:hAnsi="楷体" w:eastAsia="楷体"/>
          <w:b/>
          <w:sz w:val="36"/>
          <w:szCs w:val="36"/>
        </w:rPr>
      </w:pPr>
    </w:p>
    <w:p>
      <w:pPr>
        <w:spacing w:line="360" w:lineRule="auto"/>
        <w:ind w:firstLine="700" w:firstLineChars="250"/>
        <w:rPr>
          <w:rFonts w:ascii="楷体" w:hAnsi="楷体" w:eastAsia="楷体"/>
          <w:sz w:val="28"/>
          <w:szCs w:val="28"/>
        </w:rPr>
      </w:pPr>
      <w:r>
        <w:rPr>
          <w:rFonts w:hint="eastAsia" w:ascii="楷体" w:hAnsi="楷体" w:eastAsia="楷体"/>
          <w:sz w:val="28"/>
          <w:szCs w:val="28"/>
        </w:rPr>
        <w:t>兹证明</w:t>
      </w:r>
      <w:r>
        <w:rPr>
          <w:rFonts w:hint="eastAsia" w:ascii="楷体" w:hAnsi="楷体" w:eastAsia="楷体"/>
          <w:sz w:val="28"/>
          <w:szCs w:val="28"/>
          <w:u w:val="single"/>
        </w:rPr>
        <w:t xml:space="preserve"> （姓名</w:t>
      </w:r>
      <w:r>
        <w:rPr>
          <w:rFonts w:hint="eastAsia" w:ascii="楷体" w:hAnsi="楷体" w:eastAsia="楷体"/>
          <w:sz w:val="28"/>
          <w:u w:val="single"/>
        </w:rPr>
        <w:t xml:space="preserve">） </w:t>
      </w:r>
      <w:r>
        <w:rPr>
          <w:rFonts w:hint="eastAsia" w:ascii="楷体" w:hAnsi="楷体" w:eastAsia="楷体"/>
          <w:sz w:val="28"/>
          <w:szCs w:val="28"/>
        </w:rPr>
        <w:t>同志，性别，</w:t>
      </w:r>
      <w:r>
        <w:rPr>
          <w:rFonts w:hint="eastAsia" w:ascii="楷体" w:hAnsi="楷体" w:eastAsia="楷体"/>
          <w:sz w:val="28"/>
        </w:rPr>
        <w:t>居民身份证号</w:t>
      </w:r>
      <w:r>
        <w:rPr>
          <w:rFonts w:hint="eastAsia" w:ascii="楷体" w:hAnsi="楷体" w:eastAsia="楷体"/>
          <w:sz w:val="28"/>
          <w:szCs w:val="28"/>
        </w:rPr>
        <w:t>，在我单位任职务，系我单位主要负责人即法定代表人。</w:t>
      </w:r>
    </w:p>
    <w:p>
      <w:pPr>
        <w:spacing w:line="360" w:lineRule="auto"/>
        <w:rPr>
          <w:rFonts w:ascii="楷体" w:hAnsi="楷体" w:eastAsia="楷体"/>
          <w:sz w:val="28"/>
          <w:szCs w:val="28"/>
        </w:rPr>
      </w:pP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单位地址：</w:t>
      </w: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电    话：</w:t>
      </w: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 xml:space="preserve">单位全称： </w:t>
      </w: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 xml:space="preserve">单位盖章： </w:t>
      </w:r>
    </w:p>
    <w:p>
      <w:pPr>
        <w:spacing w:line="360" w:lineRule="auto"/>
        <w:jc w:val="center"/>
        <w:rPr>
          <w:rFonts w:ascii="楷体" w:hAnsi="楷体" w:eastAsia="楷体"/>
          <w:sz w:val="28"/>
          <w:szCs w:val="28"/>
        </w:rPr>
      </w:pPr>
    </w:p>
    <w:p>
      <w:pPr>
        <w:spacing w:line="360" w:lineRule="auto"/>
        <w:jc w:val="right"/>
        <w:rPr>
          <w:rFonts w:ascii="楷体" w:hAnsi="楷体" w:eastAsia="楷体"/>
          <w:sz w:val="28"/>
          <w:szCs w:val="28"/>
        </w:rPr>
      </w:pPr>
    </w:p>
    <w:p>
      <w:pPr>
        <w:tabs>
          <w:tab w:val="left" w:pos="7290"/>
        </w:tabs>
        <w:spacing w:line="360" w:lineRule="auto"/>
        <w:rPr>
          <w:rFonts w:ascii="楷体" w:hAnsi="楷体" w:eastAsia="楷体"/>
          <w:sz w:val="28"/>
          <w:szCs w:val="28"/>
        </w:rPr>
      </w:pPr>
      <w:r>
        <w:rPr>
          <w:rFonts w:hint="eastAsia" w:ascii="楷体" w:hAnsi="楷体" w:eastAsia="楷体"/>
          <w:sz w:val="28"/>
          <w:szCs w:val="28"/>
        </w:rPr>
        <w:t xml:space="preserve">                                 年     月    日</w:t>
      </w:r>
    </w:p>
    <w:p>
      <w:pPr>
        <w:spacing w:line="360" w:lineRule="auto"/>
        <w:rPr>
          <w:rFonts w:ascii="楷体" w:hAnsi="楷体" w:eastAsia="楷体"/>
          <w:sz w:val="28"/>
        </w:rPr>
      </w:pPr>
    </w:p>
    <w:p>
      <w:pPr>
        <w:spacing w:line="360" w:lineRule="auto"/>
        <w:rPr>
          <w:rFonts w:ascii="楷体" w:hAnsi="楷体" w:eastAsia="楷体"/>
          <w:sz w:val="28"/>
        </w:rPr>
      </w:pPr>
    </w:p>
    <w:p>
      <w:pPr>
        <w:spacing w:line="360" w:lineRule="auto"/>
        <w:jc w:val="left"/>
        <w:rPr>
          <w:rFonts w:ascii="楷体" w:hAnsi="楷体" w:eastAsia="楷体"/>
          <w:b/>
          <w:sz w:val="32"/>
          <w:szCs w:val="32"/>
        </w:rPr>
      </w:pPr>
      <w:r>
        <w:rPr>
          <w:rFonts w:hint="eastAsia" w:ascii="楷体" w:hAnsi="楷体" w:eastAsia="楷体"/>
          <w:b/>
          <w:sz w:val="32"/>
          <w:szCs w:val="32"/>
        </w:rPr>
        <w:t>附：法定代表人居民身份证复印件</w:t>
      </w:r>
    </w:p>
    <w:p>
      <w:pPr>
        <w:spacing w:line="360" w:lineRule="auto"/>
        <w:rPr>
          <w:rFonts w:ascii="楷体" w:hAnsi="楷体" w:eastAsia="楷体"/>
          <w:sz w:val="28"/>
        </w:rPr>
      </w:pPr>
    </w:p>
    <w:p>
      <w:pPr>
        <w:spacing w:line="360" w:lineRule="auto"/>
        <w:rPr>
          <w:rFonts w:ascii="楷体" w:hAnsi="楷体" w:eastAsia="楷体"/>
          <w:sz w:val="28"/>
          <w:u w:val="single"/>
        </w:rPr>
      </w:pPr>
      <w:r>
        <w:rPr>
          <w:rFonts w:hint="eastAsia" w:ascii="楷体" w:hAnsi="楷体" w:eastAsia="楷体"/>
          <w:sz w:val="28"/>
          <w:u w:val="single"/>
        </w:rPr>
        <w:t>注：“法定代表人”直接参加磋商响应活动的仅需填写本身份证明</w:t>
      </w:r>
      <w:r>
        <w:rPr>
          <w:rFonts w:hint="eastAsia" w:ascii="楷体" w:hAnsi="楷体" w:eastAsia="楷体"/>
          <w:sz w:val="28"/>
        </w:rPr>
        <w:t>，</w:t>
      </w:r>
      <w:r>
        <w:rPr>
          <w:rFonts w:hint="eastAsia" w:ascii="楷体" w:hAnsi="楷体" w:eastAsia="楷体"/>
          <w:sz w:val="28"/>
          <w:szCs w:val="28"/>
          <w:u w:val="single"/>
        </w:rPr>
        <w:t>个人居民身份证携带备查</w:t>
      </w:r>
      <w:r>
        <w:rPr>
          <w:rFonts w:hint="eastAsia" w:ascii="楷体" w:hAnsi="楷体" w:eastAsia="楷体"/>
          <w:sz w:val="28"/>
        </w:rPr>
        <w:t>。</w:t>
      </w:r>
      <w:r>
        <w:rPr>
          <w:rFonts w:hint="eastAsia" w:ascii="楷体" w:hAnsi="楷体" w:eastAsia="楷体"/>
          <w:sz w:val="28"/>
          <w:u w:val="single"/>
        </w:rPr>
        <w:t>法定代表人印章与其签字效力等同。</w:t>
      </w:r>
    </w:p>
    <w:p>
      <w:pPr>
        <w:spacing w:line="360" w:lineRule="auto"/>
        <w:rPr>
          <w:rFonts w:ascii="楷体" w:hAnsi="楷体" w:eastAsia="楷体"/>
          <w:sz w:val="28"/>
          <w:u w:val="single"/>
        </w:rPr>
      </w:pPr>
    </w:p>
    <w:p>
      <w:pPr>
        <w:spacing w:line="360" w:lineRule="auto"/>
        <w:rPr>
          <w:rFonts w:ascii="楷体" w:hAnsi="楷体" w:eastAsia="楷体"/>
          <w:sz w:val="28"/>
          <w:u w:val="single"/>
        </w:rPr>
      </w:pPr>
    </w:p>
    <w:p>
      <w:pPr>
        <w:pStyle w:val="7"/>
        <w:spacing w:line="360" w:lineRule="auto"/>
        <w:jc w:val="center"/>
        <w:rPr>
          <w:rFonts w:ascii="楷体" w:hAnsi="楷体" w:eastAsia="楷体"/>
          <w:b/>
          <w:sz w:val="32"/>
          <w:szCs w:val="32"/>
        </w:rPr>
      </w:pPr>
      <w:r>
        <w:rPr>
          <w:rFonts w:hint="eastAsia" w:ascii="楷体" w:hAnsi="楷体" w:eastAsia="楷体"/>
          <w:b/>
          <w:sz w:val="32"/>
          <w:szCs w:val="32"/>
        </w:rPr>
        <w:t>十二、中小企业声明函</w:t>
      </w:r>
    </w:p>
    <w:p>
      <w:pPr>
        <w:pStyle w:val="7"/>
        <w:spacing w:line="360" w:lineRule="auto"/>
        <w:rPr>
          <w:rFonts w:ascii="楷体" w:hAnsi="楷体" w:eastAsia="楷体"/>
          <w:sz w:val="28"/>
          <w:szCs w:val="24"/>
        </w:rPr>
      </w:pPr>
      <w:r>
        <w:rPr>
          <w:rFonts w:hint="eastAsia" w:ascii="楷体" w:hAnsi="楷体" w:eastAsia="楷体"/>
          <w:sz w:val="28"/>
          <w:szCs w:val="24"/>
        </w:rPr>
        <w:t>本公司郑重声明，根据《政府采购促进中小企业发展暂行办法》（财库[2011]181号）的规定，本公司为______（请填写：中型、小型、微型）企业。即，本公司同时满足以下条件：</w:t>
      </w:r>
    </w:p>
    <w:p>
      <w:pPr>
        <w:pStyle w:val="7"/>
        <w:spacing w:line="360" w:lineRule="auto"/>
        <w:ind w:firstLine="560" w:firstLineChars="200"/>
        <w:rPr>
          <w:rFonts w:ascii="楷体" w:hAnsi="楷体" w:eastAsia="楷体"/>
          <w:sz w:val="28"/>
          <w:szCs w:val="24"/>
        </w:rPr>
      </w:pPr>
      <w:r>
        <w:rPr>
          <w:rFonts w:hint="eastAsia" w:ascii="楷体" w:hAnsi="楷体" w:eastAsia="楷体"/>
          <w:sz w:val="28"/>
          <w:szCs w:val="24"/>
        </w:rPr>
        <w:t>1.根据《工业和信息化部、国家统计局、国家发展和改革委员会、财政部关于印发中小企业划型标准规定的通知》（工信部联企业[2011]300号）规定的划分标准，本公司为______（请填写：中型、小型、微型）企业。</w:t>
      </w:r>
      <w:r>
        <w:rPr>
          <w:rFonts w:hint="eastAsia" w:ascii="楷体" w:hAnsi="楷体" w:eastAsia="楷体"/>
          <w:sz w:val="28"/>
          <w:szCs w:val="24"/>
        </w:rPr>
        <w:cr/>
      </w:r>
      <w:r>
        <w:rPr>
          <w:rFonts w:hint="eastAsia" w:ascii="楷体" w:hAnsi="楷体" w:eastAsia="楷体"/>
          <w:sz w:val="28"/>
          <w:szCs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楷体" w:hAnsi="楷体" w:eastAsia="楷体"/>
          <w:sz w:val="28"/>
          <w:szCs w:val="24"/>
        </w:rPr>
        <w:cr/>
      </w:r>
      <w:r>
        <w:rPr>
          <w:rFonts w:hint="eastAsia" w:ascii="楷体" w:hAnsi="楷体" w:eastAsia="楷体"/>
          <w:sz w:val="28"/>
          <w:szCs w:val="24"/>
        </w:rPr>
        <w:t>本公司对上述声明的真实性负责。如有虚假，将依法承担相应责任。</w:t>
      </w:r>
      <w:r>
        <w:rPr>
          <w:rFonts w:hint="eastAsia" w:ascii="楷体" w:hAnsi="楷体" w:eastAsia="楷体"/>
          <w:sz w:val="28"/>
          <w:szCs w:val="24"/>
        </w:rPr>
        <w:cr/>
      </w:r>
      <w:r>
        <w:rPr>
          <w:rFonts w:hint="eastAsia" w:ascii="楷体" w:hAnsi="楷体" w:eastAsia="楷体"/>
          <w:sz w:val="28"/>
          <w:szCs w:val="24"/>
        </w:rPr>
        <w:cr/>
      </w:r>
      <w:r>
        <w:rPr>
          <w:rFonts w:hint="eastAsia" w:ascii="楷体" w:hAnsi="楷体" w:eastAsia="楷体"/>
          <w:sz w:val="28"/>
          <w:szCs w:val="24"/>
        </w:rPr>
        <w:cr/>
      </w:r>
    </w:p>
    <w:p>
      <w:pPr>
        <w:spacing w:line="360" w:lineRule="auto"/>
        <w:ind w:firstLine="560" w:firstLineChars="200"/>
        <w:jc w:val="left"/>
        <w:rPr>
          <w:rFonts w:ascii="楷体" w:hAnsi="楷体" w:eastAsia="楷体"/>
          <w:sz w:val="28"/>
          <w:u w:val="single"/>
        </w:rPr>
      </w:pPr>
      <w:r>
        <w:rPr>
          <w:rFonts w:hint="eastAsia" w:ascii="楷体" w:hAnsi="楷体" w:eastAsia="楷体"/>
          <w:sz w:val="28"/>
        </w:rPr>
        <w:t xml:space="preserve">  企业名称（盖章）： </w:t>
      </w:r>
      <w:r>
        <w:rPr>
          <w:rFonts w:hint="eastAsia" w:ascii="楷体" w:hAnsi="楷体" w:eastAsia="楷体"/>
          <w:sz w:val="28"/>
        </w:rPr>
        <w:cr/>
      </w:r>
      <w:r>
        <w:rPr>
          <w:rFonts w:hint="eastAsia" w:ascii="楷体" w:hAnsi="楷体" w:eastAsia="楷体"/>
          <w:sz w:val="28"/>
        </w:rPr>
        <w:cr/>
      </w:r>
      <w:r>
        <w:rPr>
          <w:rFonts w:hint="eastAsia" w:ascii="楷体" w:hAnsi="楷体" w:eastAsia="楷体"/>
          <w:sz w:val="28"/>
        </w:rPr>
        <w:t xml:space="preserve">                                       日期：  年   月   日</w:t>
      </w:r>
    </w:p>
    <w:p>
      <w:pPr>
        <w:spacing w:line="360" w:lineRule="auto"/>
        <w:rPr>
          <w:rFonts w:ascii="楷体" w:hAnsi="楷体" w:eastAsia="楷体"/>
          <w:sz w:val="28"/>
          <w:u w:val="single"/>
        </w:rPr>
      </w:pPr>
    </w:p>
    <w:p>
      <w:pPr>
        <w:spacing w:line="360" w:lineRule="auto"/>
        <w:rPr>
          <w:rFonts w:ascii="楷体" w:hAnsi="楷体" w:eastAsia="楷体"/>
          <w:sz w:val="28"/>
          <w:u w:val="single"/>
        </w:rPr>
      </w:pPr>
    </w:p>
    <w:p>
      <w:pPr>
        <w:spacing w:line="360" w:lineRule="auto"/>
        <w:rPr>
          <w:rFonts w:ascii="楷体" w:hAnsi="楷体" w:eastAsia="楷体"/>
        </w:rPr>
      </w:pPr>
    </w:p>
    <w:p>
      <w:pPr>
        <w:spacing w:line="360" w:lineRule="auto"/>
        <w:rPr>
          <w:rFonts w:ascii="楷体" w:hAnsi="楷体" w:eastAsia="楷体"/>
        </w:rPr>
      </w:pPr>
    </w:p>
    <w:bookmarkEnd w:id="61"/>
    <w:bookmarkEnd w:id="62"/>
    <w:p>
      <w:pPr>
        <w:widowControl/>
        <w:jc w:val="left"/>
        <w:rPr>
          <w:rFonts w:ascii="楷体" w:hAnsi="楷体" w:eastAsia="楷体"/>
          <w:sz w:val="28"/>
          <w:szCs w:val="28"/>
        </w:rPr>
      </w:pPr>
    </w:p>
    <w:sectPr>
      <w:headerReference r:id="rId3" w:type="first"/>
      <w:footerReference r:id="rId6" w:type="first"/>
      <w:footerReference r:id="rId4" w:type="default"/>
      <w:footerReference r:id="rId5" w:type="even"/>
      <w:pgSz w:w="11906" w:h="16838"/>
      <w:pgMar w:top="1440" w:right="1270" w:bottom="1440" w:left="1270" w:header="851" w:footer="992" w:gutter="0"/>
      <w:pgNumType w:start="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Garamond">
    <w:altName w:val="Segoe Print"/>
    <w:panose1 w:val="00000000000000000000"/>
    <w:charset w:val="00"/>
    <w:family w:val="roman"/>
    <w:pitch w:val="default"/>
    <w:sig w:usb0="00000000"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方正行楷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16</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rPr>
        <w:rStyle w:val="59"/>
      </w:rPr>
      <w:fldChar w:fldCharType="begin"/>
    </w:r>
    <w:r>
      <w:rPr>
        <w:rStyle w:val="59"/>
      </w:rPr>
      <w:instrText xml:space="preserve">PAGE  </w:instrText>
    </w:r>
    <w:r>
      <w:rPr>
        <w:rStyle w:val="59"/>
      </w:rP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0</w:t>
    </w:r>
    <w:r>
      <w:rPr>
        <w:lang w:val="zh-CN"/>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
    <w:nsid w:val="01F41240"/>
    <w:multiLevelType w:val="multilevel"/>
    <w:tmpl w:val="01F41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784D56"/>
    <w:multiLevelType w:val="singleLevel"/>
    <w:tmpl w:val="06784D56"/>
    <w:lvl w:ilvl="0" w:tentative="0">
      <w:start w:val="1"/>
      <w:numFmt w:val="upperLetter"/>
      <w:pStyle w:val="100"/>
      <w:lvlText w:val="附录%1."/>
      <w:lvlJc w:val="left"/>
      <w:pPr>
        <w:tabs>
          <w:tab w:val="left" w:pos="907"/>
        </w:tabs>
        <w:ind w:left="907" w:hanging="907"/>
      </w:pPr>
      <w:rPr>
        <w:rFonts w:hint="eastAsia"/>
      </w:rPr>
    </w:lvl>
  </w:abstractNum>
  <w:abstractNum w:abstractNumId="3">
    <w:nsid w:val="0B13038C"/>
    <w:multiLevelType w:val="multilevel"/>
    <w:tmpl w:val="0B13038C"/>
    <w:lvl w:ilvl="0" w:tentative="0">
      <w:start w:val="1"/>
      <w:numFmt w:val="japaneseCounting"/>
      <w:lvlText w:val="%1、"/>
      <w:lvlJc w:val="left"/>
      <w:pPr>
        <w:tabs>
          <w:tab w:val="left" w:pos="1047"/>
        </w:tabs>
        <w:ind w:left="1047" w:hanging="48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suff w:val="space"/>
      <w:lvlText w:val="%1.%2.%3"/>
      <w:lvlJc w:val="left"/>
      <w:pPr>
        <w:ind w:left="108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BD45776"/>
    <w:multiLevelType w:val="multilevel"/>
    <w:tmpl w:val="1BD45776"/>
    <w:lvl w:ilvl="0" w:tentative="0">
      <w:start w:val="1"/>
      <w:numFmt w:val="decimal"/>
      <w:pStyle w:val="91"/>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92"/>
      <w:isLgl/>
      <w:suff w:val="space"/>
      <w:lvlText w:val="%1.%2"/>
      <w:lvlJc w:val="left"/>
      <w:pPr>
        <w:ind w:left="0" w:firstLine="0"/>
      </w:pPr>
      <w:rPr>
        <w:rFonts w:hint="eastAsia"/>
      </w:rPr>
    </w:lvl>
    <w:lvl w:ilvl="2" w:tentative="0">
      <w:start w:val="1"/>
      <w:numFmt w:val="decimal"/>
      <w:pStyle w:val="93"/>
      <w:suff w:val="space"/>
      <w:lvlText w:val="%1.%2.%3"/>
      <w:lvlJc w:val="left"/>
      <w:pPr>
        <w:ind w:left="1080" w:firstLine="0"/>
      </w:pPr>
      <w:rPr>
        <w:rFonts w:hint="eastAsia"/>
      </w:rPr>
    </w:lvl>
    <w:lvl w:ilvl="3" w:tentative="0">
      <w:start w:val="1"/>
      <w:numFmt w:val="decimal"/>
      <w:pStyle w:val="94"/>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20C153B"/>
    <w:multiLevelType w:val="multilevel"/>
    <w:tmpl w:val="420C153B"/>
    <w:lvl w:ilvl="0" w:tentative="0">
      <w:start w:val="1"/>
      <w:numFmt w:val="decimal"/>
      <w:pStyle w:val="10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F3478CD"/>
    <w:multiLevelType w:val="multilevel"/>
    <w:tmpl w:val="6F3478CD"/>
    <w:lvl w:ilvl="0" w:tentative="0">
      <w:start w:val="1"/>
      <w:numFmt w:val="decimal"/>
      <w:pStyle w:val="161"/>
      <w:lvlText w:val="%1)"/>
      <w:lvlJc w:val="left"/>
      <w:pPr>
        <w:ind w:left="1100" w:hanging="420"/>
      </w:p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7">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7B577CA4"/>
    <w:multiLevelType w:val="multilevel"/>
    <w:tmpl w:val="7B577CA4"/>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4"/>
  </w:num>
  <w:num w:numId="4">
    <w:abstractNumId w:val="2"/>
  </w:num>
  <w:num w:numId="5">
    <w:abstractNumId w:val="5"/>
  </w:num>
  <w:num w:numId="6">
    <w:abstractNumId w:val="6"/>
  </w:num>
  <w:num w:numId="7">
    <w:abstractNumId w:val="3"/>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mirrorMargin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0A"/>
    <w:rsid w:val="00001CB8"/>
    <w:rsid w:val="00002125"/>
    <w:rsid w:val="000021AD"/>
    <w:rsid w:val="000021C8"/>
    <w:rsid w:val="0000467E"/>
    <w:rsid w:val="000050DD"/>
    <w:rsid w:val="000072B5"/>
    <w:rsid w:val="00007593"/>
    <w:rsid w:val="00011D12"/>
    <w:rsid w:val="000147D6"/>
    <w:rsid w:val="0001491B"/>
    <w:rsid w:val="0001580C"/>
    <w:rsid w:val="00015CCB"/>
    <w:rsid w:val="00017411"/>
    <w:rsid w:val="00017710"/>
    <w:rsid w:val="00017D25"/>
    <w:rsid w:val="00020C6C"/>
    <w:rsid w:val="00022071"/>
    <w:rsid w:val="00023FEB"/>
    <w:rsid w:val="00025BE5"/>
    <w:rsid w:val="00025CB0"/>
    <w:rsid w:val="00030741"/>
    <w:rsid w:val="000317F7"/>
    <w:rsid w:val="000326E9"/>
    <w:rsid w:val="00033FF3"/>
    <w:rsid w:val="00035B7C"/>
    <w:rsid w:val="00036090"/>
    <w:rsid w:val="00036A3C"/>
    <w:rsid w:val="00036CDA"/>
    <w:rsid w:val="00037D56"/>
    <w:rsid w:val="00037FDC"/>
    <w:rsid w:val="00040765"/>
    <w:rsid w:val="0004110D"/>
    <w:rsid w:val="00043A92"/>
    <w:rsid w:val="000442E2"/>
    <w:rsid w:val="00045E7B"/>
    <w:rsid w:val="000519CA"/>
    <w:rsid w:val="00054608"/>
    <w:rsid w:val="0005567D"/>
    <w:rsid w:val="000558B1"/>
    <w:rsid w:val="00055DA0"/>
    <w:rsid w:val="00055E21"/>
    <w:rsid w:val="00056250"/>
    <w:rsid w:val="00061ACA"/>
    <w:rsid w:val="00061D2B"/>
    <w:rsid w:val="000624F9"/>
    <w:rsid w:val="00062735"/>
    <w:rsid w:val="000633F0"/>
    <w:rsid w:val="00063A14"/>
    <w:rsid w:val="00063E16"/>
    <w:rsid w:val="00064FA2"/>
    <w:rsid w:val="00065F48"/>
    <w:rsid w:val="00066EAF"/>
    <w:rsid w:val="000670E2"/>
    <w:rsid w:val="00067E7A"/>
    <w:rsid w:val="00070178"/>
    <w:rsid w:val="0007432D"/>
    <w:rsid w:val="00075F11"/>
    <w:rsid w:val="00076C08"/>
    <w:rsid w:val="00077786"/>
    <w:rsid w:val="00081568"/>
    <w:rsid w:val="00082045"/>
    <w:rsid w:val="00084230"/>
    <w:rsid w:val="000848E6"/>
    <w:rsid w:val="00084E9F"/>
    <w:rsid w:val="00086551"/>
    <w:rsid w:val="00086DE4"/>
    <w:rsid w:val="000915E1"/>
    <w:rsid w:val="00091F8A"/>
    <w:rsid w:val="00093027"/>
    <w:rsid w:val="000931F2"/>
    <w:rsid w:val="000934DD"/>
    <w:rsid w:val="00095940"/>
    <w:rsid w:val="00095C59"/>
    <w:rsid w:val="000966C1"/>
    <w:rsid w:val="000975CC"/>
    <w:rsid w:val="000977AC"/>
    <w:rsid w:val="000A0361"/>
    <w:rsid w:val="000A07B6"/>
    <w:rsid w:val="000A29FE"/>
    <w:rsid w:val="000A2D3C"/>
    <w:rsid w:val="000A5A05"/>
    <w:rsid w:val="000A7163"/>
    <w:rsid w:val="000A76F3"/>
    <w:rsid w:val="000B066F"/>
    <w:rsid w:val="000B074F"/>
    <w:rsid w:val="000B14E8"/>
    <w:rsid w:val="000B2F6A"/>
    <w:rsid w:val="000B3082"/>
    <w:rsid w:val="000B38FF"/>
    <w:rsid w:val="000B4D24"/>
    <w:rsid w:val="000B67A9"/>
    <w:rsid w:val="000C1054"/>
    <w:rsid w:val="000C37F6"/>
    <w:rsid w:val="000C42DB"/>
    <w:rsid w:val="000C6002"/>
    <w:rsid w:val="000C6CB3"/>
    <w:rsid w:val="000C6F20"/>
    <w:rsid w:val="000D0184"/>
    <w:rsid w:val="000D03B4"/>
    <w:rsid w:val="000D08C6"/>
    <w:rsid w:val="000D0F7E"/>
    <w:rsid w:val="000D10E1"/>
    <w:rsid w:val="000D1B57"/>
    <w:rsid w:val="000D2CA2"/>
    <w:rsid w:val="000D46D0"/>
    <w:rsid w:val="000D4E3E"/>
    <w:rsid w:val="000D5A21"/>
    <w:rsid w:val="000D6D02"/>
    <w:rsid w:val="000D7A21"/>
    <w:rsid w:val="000D7AE2"/>
    <w:rsid w:val="000E0038"/>
    <w:rsid w:val="000E15C3"/>
    <w:rsid w:val="000E1BB9"/>
    <w:rsid w:val="000E1C2B"/>
    <w:rsid w:val="000E2805"/>
    <w:rsid w:val="000E31A9"/>
    <w:rsid w:val="000E3718"/>
    <w:rsid w:val="000E3ED7"/>
    <w:rsid w:val="000E49B1"/>
    <w:rsid w:val="000E7BC5"/>
    <w:rsid w:val="000E7BDB"/>
    <w:rsid w:val="000F23A2"/>
    <w:rsid w:val="000F3678"/>
    <w:rsid w:val="000F4507"/>
    <w:rsid w:val="000F491B"/>
    <w:rsid w:val="000F4CFC"/>
    <w:rsid w:val="000F50F6"/>
    <w:rsid w:val="000F5137"/>
    <w:rsid w:val="000F5ADF"/>
    <w:rsid w:val="000F7847"/>
    <w:rsid w:val="001004CB"/>
    <w:rsid w:val="0010060E"/>
    <w:rsid w:val="00103410"/>
    <w:rsid w:val="00103743"/>
    <w:rsid w:val="001037C5"/>
    <w:rsid w:val="0010413A"/>
    <w:rsid w:val="001042EA"/>
    <w:rsid w:val="00106DD6"/>
    <w:rsid w:val="00107D76"/>
    <w:rsid w:val="001135B5"/>
    <w:rsid w:val="00113681"/>
    <w:rsid w:val="00113FCB"/>
    <w:rsid w:val="001142FB"/>
    <w:rsid w:val="00114656"/>
    <w:rsid w:val="00114F43"/>
    <w:rsid w:val="00115708"/>
    <w:rsid w:val="00116A4B"/>
    <w:rsid w:val="00117B5A"/>
    <w:rsid w:val="0012085E"/>
    <w:rsid w:val="00121EA3"/>
    <w:rsid w:val="001262ED"/>
    <w:rsid w:val="00127F0D"/>
    <w:rsid w:val="00131363"/>
    <w:rsid w:val="00132491"/>
    <w:rsid w:val="0013301A"/>
    <w:rsid w:val="00133F71"/>
    <w:rsid w:val="00133F87"/>
    <w:rsid w:val="00136514"/>
    <w:rsid w:val="0013685F"/>
    <w:rsid w:val="0013757E"/>
    <w:rsid w:val="00145DA7"/>
    <w:rsid w:val="00146042"/>
    <w:rsid w:val="00146A5C"/>
    <w:rsid w:val="00147C1D"/>
    <w:rsid w:val="00147D35"/>
    <w:rsid w:val="00151B2E"/>
    <w:rsid w:val="00153146"/>
    <w:rsid w:val="00153748"/>
    <w:rsid w:val="00153A4A"/>
    <w:rsid w:val="0015484F"/>
    <w:rsid w:val="00154D45"/>
    <w:rsid w:val="0015790F"/>
    <w:rsid w:val="00160EAA"/>
    <w:rsid w:val="001613A5"/>
    <w:rsid w:val="001618F3"/>
    <w:rsid w:val="001621EE"/>
    <w:rsid w:val="00162369"/>
    <w:rsid w:val="0016396C"/>
    <w:rsid w:val="00164D0E"/>
    <w:rsid w:val="00165399"/>
    <w:rsid w:val="001673BA"/>
    <w:rsid w:val="00167670"/>
    <w:rsid w:val="00173113"/>
    <w:rsid w:val="00174538"/>
    <w:rsid w:val="00181199"/>
    <w:rsid w:val="00181D22"/>
    <w:rsid w:val="00182091"/>
    <w:rsid w:val="00182AA5"/>
    <w:rsid w:val="00182CC0"/>
    <w:rsid w:val="001857E4"/>
    <w:rsid w:val="00186450"/>
    <w:rsid w:val="00186DB7"/>
    <w:rsid w:val="00192018"/>
    <w:rsid w:val="0019230B"/>
    <w:rsid w:val="00192694"/>
    <w:rsid w:val="001931BB"/>
    <w:rsid w:val="001959A3"/>
    <w:rsid w:val="0019627F"/>
    <w:rsid w:val="001A07F7"/>
    <w:rsid w:val="001A236A"/>
    <w:rsid w:val="001A3142"/>
    <w:rsid w:val="001A3590"/>
    <w:rsid w:val="001A4137"/>
    <w:rsid w:val="001A5476"/>
    <w:rsid w:val="001A5BF2"/>
    <w:rsid w:val="001A622B"/>
    <w:rsid w:val="001B03FD"/>
    <w:rsid w:val="001B0AA1"/>
    <w:rsid w:val="001B0DDC"/>
    <w:rsid w:val="001B1119"/>
    <w:rsid w:val="001B1474"/>
    <w:rsid w:val="001B27B4"/>
    <w:rsid w:val="001B33B7"/>
    <w:rsid w:val="001B35F5"/>
    <w:rsid w:val="001B41AE"/>
    <w:rsid w:val="001B5736"/>
    <w:rsid w:val="001B5FDD"/>
    <w:rsid w:val="001B6097"/>
    <w:rsid w:val="001B6F4F"/>
    <w:rsid w:val="001B7EA7"/>
    <w:rsid w:val="001C3745"/>
    <w:rsid w:val="001C3B31"/>
    <w:rsid w:val="001C3E9C"/>
    <w:rsid w:val="001C4F67"/>
    <w:rsid w:val="001C4FFB"/>
    <w:rsid w:val="001C58C5"/>
    <w:rsid w:val="001C6DBF"/>
    <w:rsid w:val="001C7ADE"/>
    <w:rsid w:val="001C7F0A"/>
    <w:rsid w:val="001D0064"/>
    <w:rsid w:val="001D03F0"/>
    <w:rsid w:val="001D12A8"/>
    <w:rsid w:val="001D1A1F"/>
    <w:rsid w:val="001D2947"/>
    <w:rsid w:val="001D2BCF"/>
    <w:rsid w:val="001D3E9A"/>
    <w:rsid w:val="001D6E4D"/>
    <w:rsid w:val="001D7342"/>
    <w:rsid w:val="001E2C8C"/>
    <w:rsid w:val="001E3AF8"/>
    <w:rsid w:val="001E6315"/>
    <w:rsid w:val="001E6724"/>
    <w:rsid w:val="001F178A"/>
    <w:rsid w:val="001F265C"/>
    <w:rsid w:val="001F2A8F"/>
    <w:rsid w:val="001F5276"/>
    <w:rsid w:val="001F5AFB"/>
    <w:rsid w:val="001F7785"/>
    <w:rsid w:val="001F7CE5"/>
    <w:rsid w:val="0020089A"/>
    <w:rsid w:val="002019CB"/>
    <w:rsid w:val="00203144"/>
    <w:rsid w:val="002034AD"/>
    <w:rsid w:val="00203AD7"/>
    <w:rsid w:val="00210D47"/>
    <w:rsid w:val="00210F4D"/>
    <w:rsid w:val="002110B6"/>
    <w:rsid w:val="0021110C"/>
    <w:rsid w:val="00213E84"/>
    <w:rsid w:val="0021610D"/>
    <w:rsid w:val="00217632"/>
    <w:rsid w:val="00220BDC"/>
    <w:rsid w:val="00222321"/>
    <w:rsid w:val="00222E6C"/>
    <w:rsid w:val="00224750"/>
    <w:rsid w:val="0022799B"/>
    <w:rsid w:val="002326F6"/>
    <w:rsid w:val="00235160"/>
    <w:rsid w:val="0023540B"/>
    <w:rsid w:val="00237173"/>
    <w:rsid w:val="00237598"/>
    <w:rsid w:val="00241AE3"/>
    <w:rsid w:val="00241B13"/>
    <w:rsid w:val="00241DEC"/>
    <w:rsid w:val="00243CF1"/>
    <w:rsid w:val="00243D70"/>
    <w:rsid w:val="00244AB0"/>
    <w:rsid w:val="00246C8A"/>
    <w:rsid w:val="00250064"/>
    <w:rsid w:val="0025091C"/>
    <w:rsid w:val="00252083"/>
    <w:rsid w:val="002530C1"/>
    <w:rsid w:val="0025346D"/>
    <w:rsid w:val="00253941"/>
    <w:rsid w:val="00253A81"/>
    <w:rsid w:val="00255E64"/>
    <w:rsid w:val="002570B2"/>
    <w:rsid w:val="00257B3F"/>
    <w:rsid w:val="002604F8"/>
    <w:rsid w:val="00261626"/>
    <w:rsid w:val="00262303"/>
    <w:rsid w:val="00263898"/>
    <w:rsid w:val="002656A5"/>
    <w:rsid w:val="0026709C"/>
    <w:rsid w:val="00270FFB"/>
    <w:rsid w:val="00272B31"/>
    <w:rsid w:val="00272CCD"/>
    <w:rsid w:val="00272F46"/>
    <w:rsid w:val="00273E33"/>
    <w:rsid w:val="00274F58"/>
    <w:rsid w:val="00275582"/>
    <w:rsid w:val="00276B5A"/>
    <w:rsid w:val="00276B8F"/>
    <w:rsid w:val="0028047C"/>
    <w:rsid w:val="002807CC"/>
    <w:rsid w:val="00281F0D"/>
    <w:rsid w:val="00283676"/>
    <w:rsid w:val="002845B3"/>
    <w:rsid w:val="00285E60"/>
    <w:rsid w:val="00285E87"/>
    <w:rsid w:val="00292C85"/>
    <w:rsid w:val="00295960"/>
    <w:rsid w:val="002973D4"/>
    <w:rsid w:val="0029786F"/>
    <w:rsid w:val="00297EF8"/>
    <w:rsid w:val="002A0195"/>
    <w:rsid w:val="002A0600"/>
    <w:rsid w:val="002A0B59"/>
    <w:rsid w:val="002A14B2"/>
    <w:rsid w:val="002A215D"/>
    <w:rsid w:val="002A27A3"/>
    <w:rsid w:val="002A44B4"/>
    <w:rsid w:val="002A5CB5"/>
    <w:rsid w:val="002A66A7"/>
    <w:rsid w:val="002A6718"/>
    <w:rsid w:val="002A7191"/>
    <w:rsid w:val="002A7217"/>
    <w:rsid w:val="002B135F"/>
    <w:rsid w:val="002B1776"/>
    <w:rsid w:val="002B344F"/>
    <w:rsid w:val="002B3747"/>
    <w:rsid w:val="002B48D8"/>
    <w:rsid w:val="002B5937"/>
    <w:rsid w:val="002C19D1"/>
    <w:rsid w:val="002C24F2"/>
    <w:rsid w:val="002C27A8"/>
    <w:rsid w:val="002C3291"/>
    <w:rsid w:val="002C38FB"/>
    <w:rsid w:val="002C4619"/>
    <w:rsid w:val="002C59DC"/>
    <w:rsid w:val="002C5E14"/>
    <w:rsid w:val="002C5F83"/>
    <w:rsid w:val="002C6D5D"/>
    <w:rsid w:val="002C7B7C"/>
    <w:rsid w:val="002C7EF1"/>
    <w:rsid w:val="002D037A"/>
    <w:rsid w:val="002D125E"/>
    <w:rsid w:val="002D1643"/>
    <w:rsid w:val="002D3C4B"/>
    <w:rsid w:val="002D4CC8"/>
    <w:rsid w:val="002D52E4"/>
    <w:rsid w:val="002D58B6"/>
    <w:rsid w:val="002D62DB"/>
    <w:rsid w:val="002D73F6"/>
    <w:rsid w:val="002D749F"/>
    <w:rsid w:val="002E0FEA"/>
    <w:rsid w:val="002E151B"/>
    <w:rsid w:val="002E1A5A"/>
    <w:rsid w:val="002E31C4"/>
    <w:rsid w:val="002E38DD"/>
    <w:rsid w:val="002E3A79"/>
    <w:rsid w:val="002E4C75"/>
    <w:rsid w:val="002E6890"/>
    <w:rsid w:val="002E6A52"/>
    <w:rsid w:val="002E743C"/>
    <w:rsid w:val="002F1D94"/>
    <w:rsid w:val="002F2384"/>
    <w:rsid w:val="002F3ED0"/>
    <w:rsid w:val="002F4D6F"/>
    <w:rsid w:val="002F594D"/>
    <w:rsid w:val="002F63D0"/>
    <w:rsid w:val="002F64A0"/>
    <w:rsid w:val="002F6FC0"/>
    <w:rsid w:val="002F7428"/>
    <w:rsid w:val="002F7747"/>
    <w:rsid w:val="002F77D3"/>
    <w:rsid w:val="003016FF"/>
    <w:rsid w:val="00301884"/>
    <w:rsid w:val="00305031"/>
    <w:rsid w:val="0030664F"/>
    <w:rsid w:val="003073D6"/>
    <w:rsid w:val="0030773C"/>
    <w:rsid w:val="00311F7A"/>
    <w:rsid w:val="003131B8"/>
    <w:rsid w:val="003145F7"/>
    <w:rsid w:val="00314A88"/>
    <w:rsid w:val="00314BF2"/>
    <w:rsid w:val="003159EE"/>
    <w:rsid w:val="003161E6"/>
    <w:rsid w:val="0031633B"/>
    <w:rsid w:val="00316AE2"/>
    <w:rsid w:val="00320773"/>
    <w:rsid w:val="00320B5C"/>
    <w:rsid w:val="00321A63"/>
    <w:rsid w:val="0032210E"/>
    <w:rsid w:val="00325B13"/>
    <w:rsid w:val="003260B3"/>
    <w:rsid w:val="00326699"/>
    <w:rsid w:val="0032750E"/>
    <w:rsid w:val="00327AA2"/>
    <w:rsid w:val="00330B38"/>
    <w:rsid w:val="00331342"/>
    <w:rsid w:val="0033321C"/>
    <w:rsid w:val="00334DEC"/>
    <w:rsid w:val="0033580F"/>
    <w:rsid w:val="00340CFF"/>
    <w:rsid w:val="0034396D"/>
    <w:rsid w:val="003449E7"/>
    <w:rsid w:val="00344D7D"/>
    <w:rsid w:val="00347609"/>
    <w:rsid w:val="00351E5C"/>
    <w:rsid w:val="00352C9E"/>
    <w:rsid w:val="00352CC0"/>
    <w:rsid w:val="00353464"/>
    <w:rsid w:val="003548E1"/>
    <w:rsid w:val="00355553"/>
    <w:rsid w:val="00357889"/>
    <w:rsid w:val="0035795B"/>
    <w:rsid w:val="00357E82"/>
    <w:rsid w:val="003605E4"/>
    <w:rsid w:val="003606D7"/>
    <w:rsid w:val="00360F2D"/>
    <w:rsid w:val="00361802"/>
    <w:rsid w:val="00361D6B"/>
    <w:rsid w:val="003624BE"/>
    <w:rsid w:val="003629A3"/>
    <w:rsid w:val="0036361D"/>
    <w:rsid w:val="00363FBB"/>
    <w:rsid w:val="00364B7A"/>
    <w:rsid w:val="00365253"/>
    <w:rsid w:val="00365326"/>
    <w:rsid w:val="0037102E"/>
    <w:rsid w:val="00371CCD"/>
    <w:rsid w:val="00372D0A"/>
    <w:rsid w:val="00373062"/>
    <w:rsid w:val="00373925"/>
    <w:rsid w:val="00375326"/>
    <w:rsid w:val="0037558A"/>
    <w:rsid w:val="0037598C"/>
    <w:rsid w:val="00376233"/>
    <w:rsid w:val="003772B4"/>
    <w:rsid w:val="00377F24"/>
    <w:rsid w:val="00383101"/>
    <w:rsid w:val="00383358"/>
    <w:rsid w:val="00383986"/>
    <w:rsid w:val="00383A97"/>
    <w:rsid w:val="0038403F"/>
    <w:rsid w:val="00387222"/>
    <w:rsid w:val="0038781F"/>
    <w:rsid w:val="00387AF1"/>
    <w:rsid w:val="00387B65"/>
    <w:rsid w:val="00390DA1"/>
    <w:rsid w:val="00391311"/>
    <w:rsid w:val="003938CA"/>
    <w:rsid w:val="0039478E"/>
    <w:rsid w:val="00395394"/>
    <w:rsid w:val="003965CE"/>
    <w:rsid w:val="00396C3C"/>
    <w:rsid w:val="00397874"/>
    <w:rsid w:val="00397E0B"/>
    <w:rsid w:val="003A03A8"/>
    <w:rsid w:val="003A0A09"/>
    <w:rsid w:val="003A139D"/>
    <w:rsid w:val="003A1DD2"/>
    <w:rsid w:val="003A1E10"/>
    <w:rsid w:val="003A2167"/>
    <w:rsid w:val="003A2E38"/>
    <w:rsid w:val="003A304D"/>
    <w:rsid w:val="003A3DBF"/>
    <w:rsid w:val="003A57B9"/>
    <w:rsid w:val="003A5DAE"/>
    <w:rsid w:val="003A65FF"/>
    <w:rsid w:val="003A6802"/>
    <w:rsid w:val="003A76DC"/>
    <w:rsid w:val="003B0908"/>
    <w:rsid w:val="003B0997"/>
    <w:rsid w:val="003B1339"/>
    <w:rsid w:val="003B1617"/>
    <w:rsid w:val="003B18A9"/>
    <w:rsid w:val="003B1D3D"/>
    <w:rsid w:val="003B1DB1"/>
    <w:rsid w:val="003B1FE0"/>
    <w:rsid w:val="003B37C1"/>
    <w:rsid w:val="003B4F45"/>
    <w:rsid w:val="003B5012"/>
    <w:rsid w:val="003B5116"/>
    <w:rsid w:val="003B511F"/>
    <w:rsid w:val="003B57C1"/>
    <w:rsid w:val="003B68C4"/>
    <w:rsid w:val="003C1C77"/>
    <w:rsid w:val="003C2023"/>
    <w:rsid w:val="003C26BE"/>
    <w:rsid w:val="003C277E"/>
    <w:rsid w:val="003C2B83"/>
    <w:rsid w:val="003C3659"/>
    <w:rsid w:val="003C60F8"/>
    <w:rsid w:val="003C6CAB"/>
    <w:rsid w:val="003C6D20"/>
    <w:rsid w:val="003D0256"/>
    <w:rsid w:val="003D0ACD"/>
    <w:rsid w:val="003D0CBE"/>
    <w:rsid w:val="003D123B"/>
    <w:rsid w:val="003D34BE"/>
    <w:rsid w:val="003D699C"/>
    <w:rsid w:val="003D6B01"/>
    <w:rsid w:val="003D79F3"/>
    <w:rsid w:val="003E23B4"/>
    <w:rsid w:val="003E2EE4"/>
    <w:rsid w:val="003E32CA"/>
    <w:rsid w:val="003E74A1"/>
    <w:rsid w:val="003F11C7"/>
    <w:rsid w:val="003F3945"/>
    <w:rsid w:val="003F4049"/>
    <w:rsid w:val="003F5AA0"/>
    <w:rsid w:val="003F5DD4"/>
    <w:rsid w:val="003F6952"/>
    <w:rsid w:val="0040005A"/>
    <w:rsid w:val="004001EA"/>
    <w:rsid w:val="00401262"/>
    <w:rsid w:val="004028D9"/>
    <w:rsid w:val="004053AE"/>
    <w:rsid w:val="00405D8E"/>
    <w:rsid w:val="00405EC0"/>
    <w:rsid w:val="00406290"/>
    <w:rsid w:val="00406B9B"/>
    <w:rsid w:val="00406E12"/>
    <w:rsid w:val="00411CD7"/>
    <w:rsid w:val="00413192"/>
    <w:rsid w:val="0041336F"/>
    <w:rsid w:val="00413EA0"/>
    <w:rsid w:val="00415222"/>
    <w:rsid w:val="00416308"/>
    <w:rsid w:val="004213C2"/>
    <w:rsid w:val="00421442"/>
    <w:rsid w:val="00422B64"/>
    <w:rsid w:val="00422C94"/>
    <w:rsid w:val="00423611"/>
    <w:rsid w:val="00423A7A"/>
    <w:rsid w:val="00423A86"/>
    <w:rsid w:val="0042423B"/>
    <w:rsid w:val="0042438F"/>
    <w:rsid w:val="00424F96"/>
    <w:rsid w:val="0042522E"/>
    <w:rsid w:val="0042545B"/>
    <w:rsid w:val="00425960"/>
    <w:rsid w:val="004265DB"/>
    <w:rsid w:val="00427617"/>
    <w:rsid w:val="00430727"/>
    <w:rsid w:val="00431E46"/>
    <w:rsid w:val="0043226E"/>
    <w:rsid w:val="00435EFD"/>
    <w:rsid w:val="0043685F"/>
    <w:rsid w:val="00436AC9"/>
    <w:rsid w:val="0043721C"/>
    <w:rsid w:val="004373EC"/>
    <w:rsid w:val="00437775"/>
    <w:rsid w:val="00437FA2"/>
    <w:rsid w:val="00440177"/>
    <w:rsid w:val="00440941"/>
    <w:rsid w:val="004410DF"/>
    <w:rsid w:val="00441D34"/>
    <w:rsid w:val="00442C4D"/>
    <w:rsid w:val="004445EB"/>
    <w:rsid w:val="00444FDC"/>
    <w:rsid w:val="00445F09"/>
    <w:rsid w:val="0044696A"/>
    <w:rsid w:val="0045237C"/>
    <w:rsid w:val="00453AEC"/>
    <w:rsid w:val="00454F8F"/>
    <w:rsid w:val="00456053"/>
    <w:rsid w:val="00460BE9"/>
    <w:rsid w:val="00461955"/>
    <w:rsid w:val="00463F1C"/>
    <w:rsid w:val="0046684D"/>
    <w:rsid w:val="0046687D"/>
    <w:rsid w:val="00466B28"/>
    <w:rsid w:val="00466D2B"/>
    <w:rsid w:val="00466D7A"/>
    <w:rsid w:val="00467628"/>
    <w:rsid w:val="0047114E"/>
    <w:rsid w:val="004717E4"/>
    <w:rsid w:val="00471815"/>
    <w:rsid w:val="00473078"/>
    <w:rsid w:val="00475EC1"/>
    <w:rsid w:val="00476082"/>
    <w:rsid w:val="00477650"/>
    <w:rsid w:val="004777EE"/>
    <w:rsid w:val="00480050"/>
    <w:rsid w:val="0048043B"/>
    <w:rsid w:val="00481991"/>
    <w:rsid w:val="00481F0D"/>
    <w:rsid w:val="0048202F"/>
    <w:rsid w:val="00482AB9"/>
    <w:rsid w:val="0048312C"/>
    <w:rsid w:val="00483ABA"/>
    <w:rsid w:val="004852AF"/>
    <w:rsid w:val="004856E0"/>
    <w:rsid w:val="00486024"/>
    <w:rsid w:val="00486624"/>
    <w:rsid w:val="00486D96"/>
    <w:rsid w:val="00487997"/>
    <w:rsid w:val="004879A6"/>
    <w:rsid w:val="00487EAF"/>
    <w:rsid w:val="0049085D"/>
    <w:rsid w:val="004918CD"/>
    <w:rsid w:val="00492916"/>
    <w:rsid w:val="00493023"/>
    <w:rsid w:val="00493477"/>
    <w:rsid w:val="00495EAC"/>
    <w:rsid w:val="00495F3F"/>
    <w:rsid w:val="00496EC1"/>
    <w:rsid w:val="00497664"/>
    <w:rsid w:val="004A0864"/>
    <w:rsid w:val="004A1444"/>
    <w:rsid w:val="004A1C58"/>
    <w:rsid w:val="004A2371"/>
    <w:rsid w:val="004A2F3E"/>
    <w:rsid w:val="004A323E"/>
    <w:rsid w:val="004A45A1"/>
    <w:rsid w:val="004A510D"/>
    <w:rsid w:val="004A6BE3"/>
    <w:rsid w:val="004A7009"/>
    <w:rsid w:val="004B00C8"/>
    <w:rsid w:val="004B1A93"/>
    <w:rsid w:val="004B255B"/>
    <w:rsid w:val="004B2F94"/>
    <w:rsid w:val="004B3212"/>
    <w:rsid w:val="004B3A40"/>
    <w:rsid w:val="004B3F5D"/>
    <w:rsid w:val="004B41A0"/>
    <w:rsid w:val="004B51A6"/>
    <w:rsid w:val="004B5CAE"/>
    <w:rsid w:val="004B6A79"/>
    <w:rsid w:val="004B6C76"/>
    <w:rsid w:val="004C01F0"/>
    <w:rsid w:val="004C691D"/>
    <w:rsid w:val="004D043C"/>
    <w:rsid w:val="004D0B97"/>
    <w:rsid w:val="004D382C"/>
    <w:rsid w:val="004D42E3"/>
    <w:rsid w:val="004D7ACB"/>
    <w:rsid w:val="004E01F5"/>
    <w:rsid w:val="004E060D"/>
    <w:rsid w:val="004E07C7"/>
    <w:rsid w:val="004E217D"/>
    <w:rsid w:val="004E2D96"/>
    <w:rsid w:val="004E3978"/>
    <w:rsid w:val="004E4B8D"/>
    <w:rsid w:val="004E4E1F"/>
    <w:rsid w:val="004E4FA7"/>
    <w:rsid w:val="004E5DFD"/>
    <w:rsid w:val="004E5FE7"/>
    <w:rsid w:val="004E6566"/>
    <w:rsid w:val="004E7C6F"/>
    <w:rsid w:val="004F0D77"/>
    <w:rsid w:val="004F4790"/>
    <w:rsid w:val="004F5511"/>
    <w:rsid w:val="004F5C99"/>
    <w:rsid w:val="004F6ACB"/>
    <w:rsid w:val="004F6C3B"/>
    <w:rsid w:val="004F7D36"/>
    <w:rsid w:val="0050068B"/>
    <w:rsid w:val="00500E6D"/>
    <w:rsid w:val="005032A0"/>
    <w:rsid w:val="00503F0F"/>
    <w:rsid w:val="00504107"/>
    <w:rsid w:val="005043FE"/>
    <w:rsid w:val="00510697"/>
    <w:rsid w:val="00510C1B"/>
    <w:rsid w:val="00512997"/>
    <w:rsid w:val="00515F7E"/>
    <w:rsid w:val="00516664"/>
    <w:rsid w:val="0052061A"/>
    <w:rsid w:val="00521CCC"/>
    <w:rsid w:val="005223FA"/>
    <w:rsid w:val="00523701"/>
    <w:rsid w:val="00523FC5"/>
    <w:rsid w:val="00524943"/>
    <w:rsid w:val="005309BF"/>
    <w:rsid w:val="005317D6"/>
    <w:rsid w:val="005356BF"/>
    <w:rsid w:val="005365AB"/>
    <w:rsid w:val="0053729B"/>
    <w:rsid w:val="0054067C"/>
    <w:rsid w:val="00540949"/>
    <w:rsid w:val="005433D0"/>
    <w:rsid w:val="00544083"/>
    <w:rsid w:val="00544A28"/>
    <w:rsid w:val="00546192"/>
    <w:rsid w:val="0054695F"/>
    <w:rsid w:val="00550432"/>
    <w:rsid w:val="00550C93"/>
    <w:rsid w:val="0055121A"/>
    <w:rsid w:val="0055170A"/>
    <w:rsid w:val="00551BE7"/>
    <w:rsid w:val="005528BA"/>
    <w:rsid w:val="00553024"/>
    <w:rsid w:val="00553C99"/>
    <w:rsid w:val="00555C7E"/>
    <w:rsid w:val="00556753"/>
    <w:rsid w:val="00556CE2"/>
    <w:rsid w:val="00557C27"/>
    <w:rsid w:val="005600C4"/>
    <w:rsid w:val="00560B13"/>
    <w:rsid w:val="00560D32"/>
    <w:rsid w:val="0056249D"/>
    <w:rsid w:val="005633AA"/>
    <w:rsid w:val="00563718"/>
    <w:rsid w:val="00563D98"/>
    <w:rsid w:val="0056473B"/>
    <w:rsid w:val="00565382"/>
    <w:rsid w:val="005655EE"/>
    <w:rsid w:val="005656E7"/>
    <w:rsid w:val="005659DA"/>
    <w:rsid w:val="00567F38"/>
    <w:rsid w:val="005706B1"/>
    <w:rsid w:val="005708BA"/>
    <w:rsid w:val="005720C1"/>
    <w:rsid w:val="00572658"/>
    <w:rsid w:val="0057389E"/>
    <w:rsid w:val="00573AC9"/>
    <w:rsid w:val="00574309"/>
    <w:rsid w:val="005760AA"/>
    <w:rsid w:val="005809B9"/>
    <w:rsid w:val="00580F59"/>
    <w:rsid w:val="00581690"/>
    <w:rsid w:val="00582B52"/>
    <w:rsid w:val="00583804"/>
    <w:rsid w:val="00583824"/>
    <w:rsid w:val="00583D66"/>
    <w:rsid w:val="005843EE"/>
    <w:rsid w:val="00584D71"/>
    <w:rsid w:val="00585DCC"/>
    <w:rsid w:val="005863B3"/>
    <w:rsid w:val="005911E9"/>
    <w:rsid w:val="005943F9"/>
    <w:rsid w:val="00596F21"/>
    <w:rsid w:val="005975BC"/>
    <w:rsid w:val="005A0334"/>
    <w:rsid w:val="005A13D9"/>
    <w:rsid w:val="005A15D8"/>
    <w:rsid w:val="005A1E8C"/>
    <w:rsid w:val="005A30E0"/>
    <w:rsid w:val="005A47B5"/>
    <w:rsid w:val="005A4D04"/>
    <w:rsid w:val="005A65EE"/>
    <w:rsid w:val="005B065E"/>
    <w:rsid w:val="005B167A"/>
    <w:rsid w:val="005B199E"/>
    <w:rsid w:val="005B3115"/>
    <w:rsid w:val="005B3825"/>
    <w:rsid w:val="005B4726"/>
    <w:rsid w:val="005B4733"/>
    <w:rsid w:val="005B4EB2"/>
    <w:rsid w:val="005B5A2F"/>
    <w:rsid w:val="005B6845"/>
    <w:rsid w:val="005C013A"/>
    <w:rsid w:val="005C08DD"/>
    <w:rsid w:val="005C217A"/>
    <w:rsid w:val="005C22B5"/>
    <w:rsid w:val="005C45F1"/>
    <w:rsid w:val="005C5E8C"/>
    <w:rsid w:val="005C6F82"/>
    <w:rsid w:val="005D04F0"/>
    <w:rsid w:val="005D418F"/>
    <w:rsid w:val="005D690C"/>
    <w:rsid w:val="005E0B44"/>
    <w:rsid w:val="005E0FB4"/>
    <w:rsid w:val="005E13BB"/>
    <w:rsid w:val="005E168F"/>
    <w:rsid w:val="005E1795"/>
    <w:rsid w:val="005E2461"/>
    <w:rsid w:val="005E4008"/>
    <w:rsid w:val="005E6273"/>
    <w:rsid w:val="005E7409"/>
    <w:rsid w:val="005E78D7"/>
    <w:rsid w:val="005F2066"/>
    <w:rsid w:val="005F33E2"/>
    <w:rsid w:val="005F4826"/>
    <w:rsid w:val="005F50C7"/>
    <w:rsid w:val="005F658F"/>
    <w:rsid w:val="005F6870"/>
    <w:rsid w:val="00600998"/>
    <w:rsid w:val="0060416B"/>
    <w:rsid w:val="006041AA"/>
    <w:rsid w:val="0060567A"/>
    <w:rsid w:val="0060568B"/>
    <w:rsid w:val="00605992"/>
    <w:rsid w:val="00606B1D"/>
    <w:rsid w:val="006070E8"/>
    <w:rsid w:val="00611493"/>
    <w:rsid w:val="006132F1"/>
    <w:rsid w:val="0061419B"/>
    <w:rsid w:val="006155AD"/>
    <w:rsid w:val="00615729"/>
    <w:rsid w:val="00615A70"/>
    <w:rsid w:val="0061627D"/>
    <w:rsid w:val="00616BD0"/>
    <w:rsid w:val="006173D0"/>
    <w:rsid w:val="00620E41"/>
    <w:rsid w:val="00622F4D"/>
    <w:rsid w:val="006234B9"/>
    <w:rsid w:val="00623C7F"/>
    <w:rsid w:val="00625C26"/>
    <w:rsid w:val="00625DCF"/>
    <w:rsid w:val="00627BB6"/>
    <w:rsid w:val="00630431"/>
    <w:rsid w:val="00631B6B"/>
    <w:rsid w:val="006333D1"/>
    <w:rsid w:val="00635971"/>
    <w:rsid w:val="00636214"/>
    <w:rsid w:val="00637E83"/>
    <w:rsid w:val="00641FE7"/>
    <w:rsid w:val="00642FB2"/>
    <w:rsid w:val="0064405B"/>
    <w:rsid w:val="00644680"/>
    <w:rsid w:val="0064745E"/>
    <w:rsid w:val="00650CC2"/>
    <w:rsid w:val="006518DC"/>
    <w:rsid w:val="00653985"/>
    <w:rsid w:val="00653FD3"/>
    <w:rsid w:val="0065553F"/>
    <w:rsid w:val="00657CF7"/>
    <w:rsid w:val="006600DC"/>
    <w:rsid w:val="00660246"/>
    <w:rsid w:val="0066050A"/>
    <w:rsid w:val="00663BDF"/>
    <w:rsid w:val="00664A74"/>
    <w:rsid w:val="0066640A"/>
    <w:rsid w:val="00667261"/>
    <w:rsid w:val="00667D28"/>
    <w:rsid w:val="00670BEB"/>
    <w:rsid w:val="006734D0"/>
    <w:rsid w:val="00674EBD"/>
    <w:rsid w:val="0067501D"/>
    <w:rsid w:val="006760E5"/>
    <w:rsid w:val="006774C8"/>
    <w:rsid w:val="006819E6"/>
    <w:rsid w:val="00681F5D"/>
    <w:rsid w:val="006829B6"/>
    <w:rsid w:val="006846BD"/>
    <w:rsid w:val="006857BD"/>
    <w:rsid w:val="006872B9"/>
    <w:rsid w:val="00694B9A"/>
    <w:rsid w:val="00695314"/>
    <w:rsid w:val="0069692A"/>
    <w:rsid w:val="006970F4"/>
    <w:rsid w:val="00697153"/>
    <w:rsid w:val="006A0BBB"/>
    <w:rsid w:val="006A161F"/>
    <w:rsid w:val="006A1649"/>
    <w:rsid w:val="006A2A6A"/>
    <w:rsid w:val="006A44FE"/>
    <w:rsid w:val="006A6224"/>
    <w:rsid w:val="006A69EE"/>
    <w:rsid w:val="006A79C2"/>
    <w:rsid w:val="006B039F"/>
    <w:rsid w:val="006B0E23"/>
    <w:rsid w:val="006B1361"/>
    <w:rsid w:val="006B17CB"/>
    <w:rsid w:val="006B1A10"/>
    <w:rsid w:val="006B2882"/>
    <w:rsid w:val="006B3351"/>
    <w:rsid w:val="006B65D6"/>
    <w:rsid w:val="006B6998"/>
    <w:rsid w:val="006C02FE"/>
    <w:rsid w:val="006C03C6"/>
    <w:rsid w:val="006C060F"/>
    <w:rsid w:val="006C0F8B"/>
    <w:rsid w:val="006C258E"/>
    <w:rsid w:val="006C47F1"/>
    <w:rsid w:val="006C4E81"/>
    <w:rsid w:val="006C5FDA"/>
    <w:rsid w:val="006C662E"/>
    <w:rsid w:val="006C6C14"/>
    <w:rsid w:val="006D04A1"/>
    <w:rsid w:val="006D0FCE"/>
    <w:rsid w:val="006D2726"/>
    <w:rsid w:val="006D56C9"/>
    <w:rsid w:val="006D6FAD"/>
    <w:rsid w:val="006E5532"/>
    <w:rsid w:val="006E680C"/>
    <w:rsid w:val="006F30AC"/>
    <w:rsid w:val="006F35C1"/>
    <w:rsid w:val="006F3DF8"/>
    <w:rsid w:val="006F4505"/>
    <w:rsid w:val="006F56AB"/>
    <w:rsid w:val="00700CFB"/>
    <w:rsid w:val="00701E16"/>
    <w:rsid w:val="00701FF8"/>
    <w:rsid w:val="0070274F"/>
    <w:rsid w:val="00704BB8"/>
    <w:rsid w:val="00706221"/>
    <w:rsid w:val="0070694D"/>
    <w:rsid w:val="00706EF9"/>
    <w:rsid w:val="0070769E"/>
    <w:rsid w:val="00707AB2"/>
    <w:rsid w:val="00707E9D"/>
    <w:rsid w:val="007103F0"/>
    <w:rsid w:val="00710737"/>
    <w:rsid w:val="00711E83"/>
    <w:rsid w:val="00713297"/>
    <w:rsid w:val="00713C2F"/>
    <w:rsid w:val="007149A8"/>
    <w:rsid w:val="00714EF8"/>
    <w:rsid w:val="00714F25"/>
    <w:rsid w:val="0071500D"/>
    <w:rsid w:val="00715CB4"/>
    <w:rsid w:val="00715F75"/>
    <w:rsid w:val="00716D25"/>
    <w:rsid w:val="00721EE7"/>
    <w:rsid w:val="00722451"/>
    <w:rsid w:val="00722DB3"/>
    <w:rsid w:val="00723713"/>
    <w:rsid w:val="007245A6"/>
    <w:rsid w:val="00724F1A"/>
    <w:rsid w:val="00726587"/>
    <w:rsid w:val="00726D9C"/>
    <w:rsid w:val="00727BC6"/>
    <w:rsid w:val="0073009E"/>
    <w:rsid w:val="00731790"/>
    <w:rsid w:val="00733570"/>
    <w:rsid w:val="00733947"/>
    <w:rsid w:val="007345EB"/>
    <w:rsid w:val="0073522B"/>
    <w:rsid w:val="00735813"/>
    <w:rsid w:val="00735B1B"/>
    <w:rsid w:val="0073601D"/>
    <w:rsid w:val="00736504"/>
    <w:rsid w:val="00736C55"/>
    <w:rsid w:val="00736E91"/>
    <w:rsid w:val="00736FB0"/>
    <w:rsid w:val="00737075"/>
    <w:rsid w:val="0073775E"/>
    <w:rsid w:val="00741536"/>
    <w:rsid w:val="00741B05"/>
    <w:rsid w:val="007430C0"/>
    <w:rsid w:val="00743489"/>
    <w:rsid w:val="00743782"/>
    <w:rsid w:val="00744A2C"/>
    <w:rsid w:val="0074618C"/>
    <w:rsid w:val="00746E59"/>
    <w:rsid w:val="00751398"/>
    <w:rsid w:val="00751A5D"/>
    <w:rsid w:val="00751D1A"/>
    <w:rsid w:val="00751FEE"/>
    <w:rsid w:val="0075252C"/>
    <w:rsid w:val="00752795"/>
    <w:rsid w:val="007530D3"/>
    <w:rsid w:val="00755937"/>
    <w:rsid w:val="00756723"/>
    <w:rsid w:val="0075701A"/>
    <w:rsid w:val="007574D2"/>
    <w:rsid w:val="00757F0E"/>
    <w:rsid w:val="007605D2"/>
    <w:rsid w:val="00761100"/>
    <w:rsid w:val="0076155A"/>
    <w:rsid w:val="007626F9"/>
    <w:rsid w:val="00764FD4"/>
    <w:rsid w:val="007672F8"/>
    <w:rsid w:val="007673E0"/>
    <w:rsid w:val="00770D1C"/>
    <w:rsid w:val="0077166A"/>
    <w:rsid w:val="007722BC"/>
    <w:rsid w:val="00772C9E"/>
    <w:rsid w:val="00775661"/>
    <w:rsid w:val="00775F47"/>
    <w:rsid w:val="007769E2"/>
    <w:rsid w:val="007773BF"/>
    <w:rsid w:val="00777E86"/>
    <w:rsid w:val="00780C20"/>
    <w:rsid w:val="00780D3B"/>
    <w:rsid w:val="0078505B"/>
    <w:rsid w:val="0078557E"/>
    <w:rsid w:val="00785C83"/>
    <w:rsid w:val="00785ECB"/>
    <w:rsid w:val="00786458"/>
    <w:rsid w:val="00786FE7"/>
    <w:rsid w:val="0079055A"/>
    <w:rsid w:val="007910CF"/>
    <w:rsid w:val="00791749"/>
    <w:rsid w:val="00791E4F"/>
    <w:rsid w:val="007927AA"/>
    <w:rsid w:val="00795241"/>
    <w:rsid w:val="00795412"/>
    <w:rsid w:val="007A04DE"/>
    <w:rsid w:val="007A1255"/>
    <w:rsid w:val="007A1C62"/>
    <w:rsid w:val="007A1F42"/>
    <w:rsid w:val="007A23B7"/>
    <w:rsid w:val="007A2B11"/>
    <w:rsid w:val="007A4944"/>
    <w:rsid w:val="007A4C8C"/>
    <w:rsid w:val="007A5D0A"/>
    <w:rsid w:val="007A6C4B"/>
    <w:rsid w:val="007A77CD"/>
    <w:rsid w:val="007A77E6"/>
    <w:rsid w:val="007B0B08"/>
    <w:rsid w:val="007B0D85"/>
    <w:rsid w:val="007B10F7"/>
    <w:rsid w:val="007B2850"/>
    <w:rsid w:val="007B3437"/>
    <w:rsid w:val="007B3447"/>
    <w:rsid w:val="007B5CC5"/>
    <w:rsid w:val="007B6B78"/>
    <w:rsid w:val="007B70A0"/>
    <w:rsid w:val="007C1039"/>
    <w:rsid w:val="007C424A"/>
    <w:rsid w:val="007C435A"/>
    <w:rsid w:val="007C6317"/>
    <w:rsid w:val="007C6D8B"/>
    <w:rsid w:val="007C71F4"/>
    <w:rsid w:val="007D12B4"/>
    <w:rsid w:val="007D2427"/>
    <w:rsid w:val="007D2710"/>
    <w:rsid w:val="007D2C9C"/>
    <w:rsid w:val="007D3332"/>
    <w:rsid w:val="007D3B5E"/>
    <w:rsid w:val="007D413B"/>
    <w:rsid w:val="007D695E"/>
    <w:rsid w:val="007D7108"/>
    <w:rsid w:val="007E2DFC"/>
    <w:rsid w:val="007E34ED"/>
    <w:rsid w:val="007E6A7C"/>
    <w:rsid w:val="007F2585"/>
    <w:rsid w:val="007F2C71"/>
    <w:rsid w:val="007F3392"/>
    <w:rsid w:val="007F4B7F"/>
    <w:rsid w:val="007F5390"/>
    <w:rsid w:val="007F55E2"/>
    <w:rsid w:val="007F6889"/>
    <w:rsid w:val="00800599"/>
    <w:rsid w:val="00800714"/>
    <w:rsid w:val="0080176A"/>
    <w:rsid w:val="00801E0C"/>
    <w:rsid w:val="008041A0"/>
    <w:rsid w:val="00804560"/>
    <w:rsid w:val="00804EA8"/>
    <w:rsid w:val="0080535D"/>
    <w:rsid w:val="00805456"/>
    <w:rsid w:val="00806648"/>
    <w:rsid w:val="008068B4"/>
    <w:rsid w:val="00810F97"/>
    <w:rsid w:val="00811D5B"/>
    <w:rsid w:val="008148EB"/>
    <w:rsid w:val="00814DB5"/>
    <w:rsid w:val="00816361"/>
    <w:rsid w:val="0081722E"/>
    <w:rsid w:val="00817583"/>
    <w:rsid w:val="00820188"/>
    <w:rsid w:val="00820293"/>
    <w:rsid w:val="008218C8"/>
    <w:rsid w:val="00823573"/>
    <w:rsid w:val="00824942"/>
    <w:rsid w:val="00831F9C"/>
    <w:rsid w:val="008327DC"/>
    <w:rsid w:val="008330E1"/>
    <w:rsid w:val="00834B86"/>
    <w:rsid w:val="00834E58"/>
    <w:rsid w:val="00835B2D"/>
    <w:rsid w:val="00836D84"/>
    <w:rsid w:val="0083702C"/>
    <w:rsid w:val="00842105"/>
    <w:rsid w:val="00843109"/>
    <w:rsid w:val="00846AA3"/>
    <w:rsid w:val="00847156"/>
    <w:rsid w:val="00850049"/>
    <w:rsid w:val="0085029E"/>
    <w:rsid w:val="0085086A"/>
    <w:rsid w:val="00851870"/>
    <w:rsid w:val="00851979"/>
    <w:rsid w:val="00851FFB"/>
    <w:rsid w:val="008525AF"/>
    <w:rsid w:val="008532B2"/>
    <w:rsid w:val="00855E3A"/>
    <w:rsid w:val="00855EFF"/>
    <w:rsid w:val="0085722A"/>
    <w:rsid w:val="0085744E"/>
    <w:rsid w:val="008578EC"/>
    <w:rsid w:val="00860253"/>
    <w:rsid w:val="008605B7"/>
    <w:rsid w:val="008617D3"/>
    <w:rsid w:val="0086196B"/>
    <w:rsid w:val="00861C5D"/>
    <w:rsid w:val="00862792"/>
    <w:rsid w:val="00863756"/>
    <w:rsid w:val="00863EFB"/>
    <w:rsid w:val="0086435F"/>
    <w:rsid w:val="0086475D"/>
    <w:rsid w:val="0086513E"/>
    <w:rsid w:val="008652B1"/>
    <w:rsid w:val="00867203"/>
    <w:rsid w:val="00870D7B"/>
    <w:rsid w:val="008717C0"/>
    <w:rsid w:val="008744D8"/>
    <w:rsid w:val="00874515"/>
    <w:rsid w:val="00877A4B"/>
    <w:rsid w:val="00877AA5"/>
    <w:rsid w:val="008827AA"/>
    <w:rsid w:val="00883880"/>
    <w:rsid w:val="00883BEE"/>
    <w:rsid w:val="0088501E"/>
    <w:rsid w:val="00885A15"/>
    <w:rsid w:val="00890A23"/>
    <w:rsid w:val="00890D9D"/>
    <w:rsid w:val="00892856"/>
    <w:rsid w:val="0089363F"/>
    <w:rsid w:val="00894BDD"/>
    <w:rsid w:val="00894E4C"/>
    <w:rsid w:val="00896160"/>
    <w:rsid w:val="00896920"/>
    <w:rsid w:val="00896B68"/>
    <w:rsid w:val="00897098"/>
    <w:rsid w:val="008A21B9"/>
    <w:rsid w:val="008A23FB"/>
    <w:rsid w:val="008A241D"/>
    <w:rsid w:val="008A373C"/>
    <w:rsid w:val="008A58F6"/>
    <w:rsid w:val="008A7D63"/>
    <w:rsid w:val="008B056B"/>
    <w:rsid w:val="008B1152"/>
    <w:rsid w:val="008B1E7F"/>
    <w:rsid w:val="008B2CD7"/>
    <w:rsid w:val="008B3CAE"/>
    <w:rsid w:val="008B561C"/>
    <w:rsid w:val="008B6698"/>
    <w:rsid w:val="008C0C28"/>
    <w:rsid w:val="008C0D7E"/>
    <w:rsid w:val="008C1507"/>
    <w:rsid w:val="008C1945"/>
    <w:rsid w:val="008C2C8F"/>
    <w:rsid w:val="008C31ED"/>
    <w:rsid w:val="008C5559"/>
    <w:rsid w:val="008C579B"/>
    <w:rsid w:val="008C689F"/>
    <w:rsid w:val="008C705D"/>
    <w:rsid w:val="008C77B8"/>
    <w:rsid w:val="008D0637"/>
    <w:rsid w:val="008D0F0D"/>
    <w:rsid w:val="008D1412"/>
    <w:rsid w:val="008D2913"/>
    <w:rsid w:val="008D42E5"/>
    <w:rsid w:val="008D5D1A"/>
    <w:rsid w:val="008D616A"/>
    <w:rsid w:val="008D63AA"/>
    <w:rsid w:val="008D64F6"/>
    <w:rsid w:val="008D77AF"/>
    <w:rsid w:val="008D7C7B"/>
    <w:rsid w:val="008E028E"/>
    <w:rsid w:val="008E11F9"/>
    <w:rsid w:val="008E1EB3"/>
    <w:rsid w:val="008E21E3"/>
    <w:rsid w:val="008E49C2"/>
    <w:rsid w:val="008E5FC3"/>
    <w:rsid w:val="008E6110"/>
    <w:rsid w:val="008E6E02"/>
    <w:rsid w:val="008E702E"/>
    <w:rsid w:val="008E7805"/>
    <w:rsid w:val="008F098B"/>
    <w:rsid w:val="008F0E7C"/>
    <w:rsid w:val="008F23CF"/>
    <w:rsid w:val="008F3C25"/>
    <w:rsid w:val="008F4262"/>
    <w:rsid w:val="008F483A"/>
    <w:rsid w:val="008F68AF"/>
    <w:rsid w:val="008F6F3F"/>
    <w:rsid w:val="008F7C7B"/>
    <w:rsid w:val="0090134F"/>
    <w:rsid w:val="00901410"/>
    <w:rsid w:val="009044D1"/>
    <w:rsid w:val="00904B0E"/>
    <w:rsid w:val="00906535"/>
    <w:rsid w:val="00906AB6"/>
    <w:rsid w:val="0090745E"/>
    <w:rsid w:val="00907E48"/>
    <w:rsid w:val="00910182"/>
    <w:rsid w:val="009112FA"/>
    <w:rsid w:val="00911612"/>
    <w:rsid w:val="009134F0"/>
    <w:rsid w:val="009136C4"/>
    <w:rsid w:val="00913F12"/>
    <w:rsid w:val="00916FB4"/>
    <w:rsid w:val="00917E97"/>
    <w:rsid w:val="00920F66"/>
    <w:rsid w:val="00921676"/>
    <w:rsid w:val="0092188B"/>
    <w:rsid w:val="00922665"/>
    <w:rsid w:val="009229F8"/>
    <w:rsid w:val="00923C7D"/>
    <w:rsid w:val="00924B2E"/>
    <w:rsid w:val="00926FEB"/>
    <w:rsid w:val="009272A5"/>
    <w:rsid w:val="009309BA"/>
    <w:rsid w:val="00931545"/>
    <w:rsid w:val="00932489"/>
    <w:rsid w:val="00933522"/>
    <w:rsid w:val="00933DD8"/>
    <w:rsid w:val="009342A0"/>
    <w:rsid w:val="009349F6"/>
    <w:rsid w:val="0093794A"/>
    <w:rsid w:val="00941FD4"/>
    <w:rsid w:val="00942D17"/>
    <w:rsid w:val="00942E68"/>
    <w:rsid w:val="0094312C"/>
    <w:rsid w:val="009432DC"/>
    <w:rsid w:val="00943A63"/>
    <w:rsid w:val="00943CA1"/>
    <w:rsid w:val="009445CB"/>
    <w:rsid w:val="00944C2F"/>
    <w:rsid w:val="00945268"/>
    <w:rsid w:val="00945D8B"/>
    <w:rsid w:val="00946374"/>
    <w:rsid w:val="00947A82"/>
    <w:rsid w:val="009524BA"/>
    <w:rsid w:val="00954010"/>
    <w:rsid w:val="0095444F"/>
    <w:rsid w:val="00954623"/>
    <w:rsid w:val="00955B4E"/>
    <w:rsid w:val="00955B56"/>
    <w:rsid w:val="009563FF"/>
    <w:rsid w:val="0095645C"/>
    <w:rsid w:val="009564FD"/>
    <w:rsid w:val="0095657D"/>
    <w:rsid w:val="00960B54"/>
    <w:rsid w:val="00960EB2"/>
    <w:rsid w:val="0096395E"/>
    <w:rsid w:val="00963AA5"/>
    <w:rsid w:val="00965162"/>
    <w:rsid w:val="009668EF"/>
    <w:rsid w:val="0096779F"/>
    <w:rsid w:val="00970B5A"/>
    <w:rsid w:val="00971D30"/>
    <w:rsid w:val="009723CC"/>
    <w:rsid w:val="0097383D"/>
    <w:rsid w:val="009740FB"/>
    <w:rsid w:val="00980338"/>
    <w:rsid w:val="00982201"/>
    <w:rsid w:val="009829CF"/>
    <w:rsid w:val="00983D1E"/>
    <w:rsid w:val="009840B4"/>
    <w:rsid w:val="009851D8"/>
    <w:rsid w:val="00985637"/>
    <w:rsid w:val="009856C3"/>
    <w:rsid w:val="00985D0A"/>
    <w:rsid w:val="009866EE"/>
    <w:rsid w:val="009871C1"/>
    <w:rsid w:val="0098763F"/>
    <w:rsid w:val="00990C8D"/>
    <w:rsid w:val="00991266"/>
    <w:rsid w:val="009920EE"/>
    <w:rsid w:val="00992700"/>
    <w:rsid w:val="00992D1F"/>
    <w:rsid w:val="00994919"/>
    <w:rsid w:val="009970A1"/>
    <w:rsid w:val="00997700"/>
    <w:rsid w:val="009A00BC"/>
    <w:rsid w:val="009A25D3"/>
    <w:rsid w:val="009A283B"/>
    <w:rsid w:val="009A2D61"/>
    <w:rsid w:val="009A38CC"/>
    <w:rsid w:val="009A4AB4"/>
    <w:rsid w:val="009A528B"/>
    <w:rsid w:val="009A52B9"/>
    <w:rsid w:val="009B1366"/>
    <w:rsid w:val="009B1ADB"/>
    <w:rsid w:val="009B346F"/>
    <w:rsid w:val="009B3A0B"/>
    <w:rsid w:val="009B5AAB"/>
    <w:rsid w:val="009B5DB1"/>
    <w:rsid w:val="009C22A2"/>
    <w:rsid w:val="009C28DB"/>
    <w:rsid w:val="009C3540"/>
    <w:rsid w:val="009C3E10"/>
    <w:rsid w:val="009C6F99"/>
    <w:rsid w:val="009C7080"/>
    <w:rsid w:val="009D0D6A"/>
    <w:rsid w:val="009D4401"/>
    <w:rsid w:val="009D6447"/>
    <w:rsid w:val="009D7350"/>
    <w:rsid w:val="009E0208"/>
    <w:rsid w:val="009E0BFF"/>
    <w:rsid w:val="009E0DE5"/>
    <w:rsid w:val="009E43D3"/>
    <w:rsid w:val="009E4CF8"/>
    <w:rsid w:val="009E4D97"/>
    <w:rsid w:val="009E54BD"/>
    <w:rsid w:val="009E5DBF"/>
    <w:rsid w:val="009E5FE4"/>
    <w:rsid w:val="009E6DF5"/>
    <w:rsid w:val="009E7407"/>
    <w:rsid w:val="009E7DC5"/>
    <w:rsid w:val="009F19B7"/>
    <w:rsid w:val="009F277F"/>
    <w:rsid w:val="009F2C0C"/>
    <w:rsid w:val="009F3EA9"/>
    <w:rsid w:val="009F465C"/>
    <w:rsid w:val="009F5BFB"/>
    <w:rsid w:val="00A007DA"/>
    <w:rsid w:val="00A02BE0"/>
    <w:rsid w:val="00A02C47"/>
    <w:rsid w:val="00A06088"/>
    <w:rsid w:val="00A06A3D"/>
    <w:rsid w:val="00A10240"/>
    <w:rsid w:val="00A11526"/>
    <w:rsid w:val="00A12037"/>
    <w:rsid w:val="00A130F4"/>
    <w:rsid w:val="00A15466"/>
    <w:rsid w:val="00A1582F"/>
    <w:rsid w:val="00A15A37"/>
    <w:rsid w:val="00A15B72"/>
    <w:rsid w:val="00A17A77"/>
    <w:rsid w:val="00A21096"/>
    <w:rsid w:val="00A21287"/>
    <w:rsid w:val="00A21C34"/>
    <w:rsid w:val="00A22024"/>
    <w:rsid w:val="00A220F0"/>
    <w:rsid w:val="00A22256"/>
    <w:rsid w:val="00A228BE"/>
    <w:rsid w:val="00A22DD8"/>
    <w:rsid w:val="00A2300D"/>
    <w:rsid w:val="00A25241"/>
    <w:rsid w:val="00A25F59"/>
    <w:rsid w:val="00A3040F"/>
    <w:rsid w:val="00A3186E"/>
    <w:rsid w:val="00A319C3"/>
    <w:rsid w:val="00A327FE"/>
    <w:rsid w:val="00A334C1"/>
    <w:rsid w:val="00A35EDD"/>
    <w:rsid w:val="00A3693B"/>
    <w:rsid w:val="00A373E9"/>
    <w:rsid w:val="00A37B4F"/>
    <w:rsid w:val="00A44AE8"/>
    <w:rsid w:val="00A44B63"/>
    <w:rsid w:val="00A46B01"/>
    <w:rsid w:val="00A47738"/>
    <w:rsid w:val="00A52F5A"/>
    <w:rsid w:val="00A543D2"/>
    <w:rsid w:val="00A544FB"/>
    <w:rsid w:val="00A5583A"/>
    <w:rsid w:val="00A60245"/>
    <w:rsid w:val="00A627DE"/>
    <w:rsid w:val="00A64D4A"/>
    <w:rsid w:val="00A66B3A"/>
    <w:rsid w:val="00A674D2"/>
    <w:rsid w:val="00A67F44"/>
    <w:rsid w:val="00A71385"/>
    <w:rsid w:val="00A719AA"/>
    <w:rsid w:val="00A7224B"/>
    <w:rsid w:val="00A723EE"/>
    <w:rsid w:val="00A736A3"/>
    <w:rsid w:val="00A74990"/>
    <w:rsid w:val="00A74CCB"/>
    <w:rsid w:val="00A76BF7"/>
    <w:rsid w:val="00A770AF"/>
    <w:rsid w:val="00A80696"/>
    <w:rsid w:val="00A80A94"/>
    <w:rsid w:val="00A80B2D"/>
    <w:rsid w:val="00A8155E"/>
    <w:rsid w:val="00A838D8"/>
    <w:rsid w:val="00A85BEF"/>
    <w:rsid w:val="00A85D1B"/>
    <w:rsid w:val="00A869F9"/>
    <w:rsid w:val="00A86FFA"/>
    <w:rsid w:val="00A9005D"/>
    <w:rsid w:val="00A9220C"/>
    <w:rsid w:val="00A93155"/>
    <w:rsid w:val="00A9318D"/>
    <w:rsid w:val="00A93334"/>
    <w:rsid w:val="00A95D6F"/>
    <w:rsid w:val="00A966D8"/>
    <w:rsid w:val="00A971B5"/>
    <w:rsid w:val="00AA0019"/>
    <w:rsid w:val="00AA0565"/>
    <w:rsid w:val="00AA0797"/>
    <w:rsid w:val="00AA1378"/>
    <w:rsid w:val="00AA17F8"/>
    <w:rsid w:val="00AA1E07"/>
    <w:rsid w:val="00AA2C6D"/>
    <w:rsid w:val="00AA39D5"/>
    <w:rsid w:val="00AA4170"/>
    <w:rsid w:val="00AA50AE"/>
    <w:rsid w:val="00AA5649"/>
    <w:rsid w:val="00AA7410"/>
    <w:rsid w:val="00AB0FF2"/>
    <w:rsid w:val="00AB1C39"/>
    <w:rsid w:val="00AB2178"/>
    <w:rsid w:val="00AB3BBE"/>
    <w:rsid w:val="00AB7022"/>
    <w:rsid w:val="00AB76A0"/>
    <w:rsid w:val="00AB7C70"/>
    <w:rsid w:val="00AC079C"/>
    <w:rsid w:val="00AC2B61"/>
    <w:rsid w:val="00AC560C"/>
    <w:rsid w:val="00AC61D5"/>
    <w:rsid w:val="00AC699E"/>
    <w:rsid w:val="00AC6B05"/>
    <w:rsid w:val="00AC6C8E"/>
    <w:rsid w:val="00AC6FFC"/>
    <w:rsid w:val="00AC76C6"/>
    <w:rsid w:val="00AD0112"/>
    <w:rsid w:val="00AD24E6"/>
    <w:rsid w:val="00AD43A6"/>
    <w:rsid w:val="00AE027A"/>
    <w:rsid w:val="00AE03EC"/>
    <w:rsid w:val="00AE0909"/>
    <w:rsid w:val="00AE0C78"/>
    <w:rsid w:val="00AE1FCE"/>
    <w:rsid w:val="00AE3074"/>
    <w:rsid w:val="00AE558D"/>
    <w:rsid w:val="00AE5C5E"/>
    <w:rsid w:val="00AE68B1"/>
    <w:rsid w:val="00AE694B"/>
    <w:rsid w:val="00AE6A0F"/>
    <w:rsid w:val="00AE7052"/>
    <w:rsid w:val="00AF2479"/>
    <w:rsid w:val="00AF33CF"/>
    <w:rsid w:val="00AF43B7"/>
    <w:rsid w:val="00AF4CE2"/>
    <w:rsid w:val="00AF4D75"/>
    <w:rsid w:val="00AF510C"/>
    <w:rsid w:val="00AF5142"/>
    <w:rsid w:val="00AF639E"/>
    <w:rsid w:val="00AF7CD8"/>
    <w:rsid w:val="00B010D4"/>
    <w:rsid w:val="00B06369"/>
    <w:rsid w:val="00B067D3"/>
    <w:rsid w:val="00B07E93"/>
    <w:rsid w:val="00B10684"/>
    <w:rsid w:val="00B11FEE"/>
    <w:rsid w:val="00B12F78"/>
    <w:rsid w:val="00B13625"/>
    <w:rsid w:val="00B1366D"/>
    <w:rsid w:val="00B15953"/>
    <w:rsid w:val="00B161FE"/>
    <w:rsid w:val="00B17999"/>
    <w:rsid w:val="00B17A11"/>
    <w:rsid w:val="00B20850"/>
    <w:rsid w:val="00B21EC3"/>
    <w:rsid w:val="00B22155"/>
    <w:rsid w:val="00B237F1"/>
    <w:rsid w:val="00B239F7"/>
    <w:rsid w:val="00B23FC7"/>
    <w:rsid w:val="00B243BC"/>
    <w:rsid w:val="00B251A3"/>
    <w:rsid w:val="00B25492"/>
    <w:rsid w:val="00B26E31"/>
    <w:rsid w:val="00B277E4"/>
    <w:rsid w:val="00B315B3"/>
    <w:rsid w:val="00B31895"/>
    <w:rsid w:val="00B3190F"/>
    <w:rsid w:val="00B3236C"/>
    <w:rsid w:val="00B32370"/>
    <w:rsid w:val="00B34B36"/>
    <w:rsid w:val="00B35084"/>
    <w:rsid w:val="00B35152"/>
    <w:rsid w:val="00B408AF"/>
    <w:rsid w:val="00B40AFA"/>
    <w:rsid w:val="00B40B55"/>
    <w:rsid w:val="00B416B9"/>
    <w:rsid w:val="00B41D1D"/>
    <w:rsid w:val="00B42152"/>
    <w:rsid w:val="00B42647"/>
    <w:rsid w:val="00B45D8A"/>
    <w:rsid w:val="00B46F23"/>
    <w:rsid w:val="00B47605"/>
    <w:rsid w:val="00B50474"/>
    <w:rsid w:val="00B51C19"/>
    <w:rsid w:val="00B53732"/>
    <w:rsid w:val="00B53E3A"/>
    <w:rsid w:val="00B545CF"/>
    <w:rsid w:val="00B547C6"/>
    <w:rsid w:val="00B56042"/>
    <w:rsid w:val="00B56A75"/>
    <w:rsid w:val="00B56B85"/>
    <w:rsid w:val="00B573A5"/>
    <w:rsid w:val="00B57C7E"/>
    <w:rsid w:val="00B63098"/>
    <w:rsid w:val="00B63BA7"/>
    <w:rsid w:val="00B6481E"/>
    <w:rsid w:val="00B65656"/>
    <w:rsid w:val="00B667BD"/>
    <w:rsid w:val="00B66C57"/>
    <w:rsid w:val="00B67207"/>
    <w:rsid w:val="00B7057A"/>
    <w:rsid w:val="00B7081F"/>
    <w:rsid w:val="00B7123F"/>
    <w:rsid w:val="00B716EF"/>
    <w:rsid w:val="00B721D6"/>
    <w:rsid w:val="00B7231A"/>
    <w:rsid w:val="00B73194"/>
    <w:rsid w:val="00B75024"/>
    <w:rsid w:val="00B77254"/>
    <w:rsid w:val="00B7741A"/>
    <w:rsid w:val="00B777AF"/>
    <w:rsid w:val="00B77EA1"/>
    <w:rsid w:val="00B77F4F"/>
    <w:rsid w:val="00B80D0C"/>
    <w:rsid w:val="00B82E3C"/>
    <w:rsid w:val="00B83147"/>
    <w:rsid w:val="00B83C0B"/>
    <w:rsid w:val="00B86B93"/>
    <w:rsid w:val="00B87BE0"/>
    <w:rsid w:val="00B93066"/>
    <w:rsid w:val="00B940D6"/>
    <w:rsid w:val="00B951AD"/>
    <w:rsid w:val="00B96445"/>
    <w:rsid w:val="00B97AE6"/>
    <w:rsid w:val="00BA01F9"/>
    <w:rsid w:val="00BA0379"/>
    <w:rsid w:val="00BA0B84"/>
    <w:rsid w:val="00BA21EA"/>
    <w:rsid w:val="00BA2B3F"/>
    <w:rsid w:val="00BA4CC0"/>
    <w:rsid w:val="00BA4FAC"/>
    <w:rsid w:val="00BA727A"/>
    <w:rsid w:val="00BA7BDF"/>
    <w:rsid w:val="00BA7CB2"/>
    <w:rsid w:val="00BB0295"/>
    <w:rsid w:val="00BB27EF"/>
    <w:rsid w:val="00BB2E70"/>
    <w:rsid w:val="00BB3249"/>
    <w:rsid w:val="00BB3522"/>
    <w:rsid w:val="00BB3D28"/>
    <w:rsid w:val="00BB5789"/>
    <w:rsid w:val="00BB7364"/>
    <w:rsid w:val="00BC07EB"/>
    <w:rsid w:val="00BC38AE"/>
    <w:rsid w:val="00BC3D90"/>
    <w:rsid w:val="00BC3E13"/>
    <w:rsid w:val="00BC3EB1"/>
    <w:rsid w:val="00BC4D21"/>
    <w:rsid w:val="00BC5548"/>
    <w:rsid w:val="00BC5A06"/>
    <w:rsid w:val="00BC6141"/>
    <w:rsid w:val="00BC6667"/>
    <w:rsid w:val="00BD07C2"/>
    <w:rsid w:val="00BD28D3"/>
    <w:rsid w:val="00BD3DD1"/>
    <w:rsid w:val="00BD3EC4"/>
    <w:rsid w:val="00BD4957"/>
    <w:rsid w:val="00BD5388"/>
    <w:rsid w:val="00BD7279"/>
    <w:rsid w:val="00BE040A"/>
    <w:rsid w:val="00BE100A"/>
    <w:rsid w:val="00BE115A"/>
    <w:rsid w:val="00BE1729"/>
    <w:rsid w:val="00BE3695"/>
    <w:rsid w:val="00BE4A6C"/>
    <w:rsid w:val="00BE5204"/>
    <w:rsid w:val="00BE57BA"/>
    <w:rsid w:val="00BE5981"/>
    <w:rsid w:val="00BE6B68"/>
    <w:rsid w:val="00BE73D8"/>
    <w:rsid w:val="00BF155F"/>
    <w:rsid w:val="00BF1DBC"/>
    <w:rsid w:val="00BF35A2"/>
    <w:rsid w:val="00BF388E"/>
    <w:rsid w:val="00BF5D32"/>
    <w:rsid w:val="00BF63A0"/>
    <w:rsid w:val="00BF656E"/>
    <w:rsid w:val="00BF6772"/>
    <w:rsid w:val="00BF71E4"/>
    <w:rsid w:val="00BF7791"/>
    <w:rsid w:val="00C01376"/>
    <w:rsid w:val="00C0163C"/>
    <w:rsid w:val="00C01AA6"/>
    <w:rsid w:val="00C04255"/>
    <w:rsid w:val="00C0474C"/>
    <w:rsid w:val="00C05E7D"/>
    <w:rsid w:val="00C0681A"/>
    <w:rsid w:val="00C06C92"/>
    <w:rsid w:val="00C07EE0"/>
    <w:rsid w:val="00C10429"/>
    <w:rsid w:val="00C1221A"/>
    <w:rsid w:val="00C12D27"/>
    <w:rsid w:val="00C14749"/>
    <w:rsid w:val="00C16262"/>
    <w:rsid w:val="00C16ACF"/>
    <w:rsid w:val="00C17751"/>
    <w:rsid w:val="00C17B24"/>
    <w:rsid w:val="00C20221"/>
    <w:rsid w:val="00C20615"/>
    <w:rsid w:val="00C20890"/>
    <w:rsid w:val="00C20904"/>
    <w:rsid w:val="00C21B91"/>
    <w:rsid w:val="00C231AA"/>
    <w:rsid w:val="00C2326E"/>
    <w:rsid w:val="00C24503"/>
    <w:rsid w:val="00C24F8B"/>
    <w:rsid w:val="00C26609"/>
    <w:rsid w:val="00C319FD"/>
    <w:rsid w:val="00C346FB"/>
    <w:rsid w:val="00C34C5F"/>
    <w:rsid w:val="00C3538C"/>
    <w:rsid w:val="00C359F2"/>
    <w:rsid w:val="00C372BD"/>
    <w:rsid w:val="00C416E3"/>
    <w:rsid w:val="00C427D7"/>
    <w:rsid w:val="00C43E61"/>
    <w:rsid w:val="00C44752"/>
    <w:rsid w:val="00C45FD6"/>
    <w:rsid w:val="00C47CAF"/>
    <w:rsid w:val="00C47FC3"/>
    <w:rsid w:val="00C53ABD"/>
    <w:rsid w:val="00C543CC"/>
    <w:rsid w:val="00C54436"/>
    <w:rsid w:val="00C54C30"/>
    <w:rsid w:val="00C556AC"/>
    <w:rsid w:val="00C5681A"/>
    <w:rsid w:val="00C60009"/>
    <w:rsid w:val="00C60125"/>
    <w:rsid w:val="00C6019F"/>
    <w:rsid w:val="00C603EF"/>
    <w:rsid w:val="00C61C0A"/>
    <w:rsid w:val="00C62559"/>
    <w:rsid w:val="00C63992"/>
    <w:rsid w:val="00C663AE"/>
    <w:rsid w:val="00C674D0"/>
    <w:rsid w:val="00C7046A"/>
    <w:rsid w:val="00C7335F"/>
    <w:rsid w:val="00C73D46"/>
    <w:rsid w:val="00C77CD4"/>
    <w:rsid w:val="00C77FF2"/>
    <w:rsid w:val="00C8274E"/>
    <w:rsid w:val="00C82F52"/>
    <w:rsid w:val="00C839FB"/>
    <w:rsid w:val="00C83A27"/>
    <w:rsid w:val="00C84192"/>
    <w:rsid w:val="00C84456"/>
    <w:rsid w:val="00C85982"/>
    <w:rsid w:val="00C86661"/>
    <w:rsid w:val="00C90307"/>
    <w:rsid w:val="00C918B1"/>
    <w:rsid w:val="00C91F1D"/>
    <w:rsid w:val="00C93665"/>
    <w:rsid w:val="00C979C0"/>
    <w:rsid w:val="00CA0F7D"/>
    <w:rsid w:val="00CA18C7"/>
    <w:rsid w:val="00CA3047"/>
    <w:rsid w:val="00CA36A9"/>
    <w:rsid w:val="00CA42CF"/>
    <w:rsid w:val="00CA4C3F"/>
    <w:rsid w:val="00CA59EE"/>
    <w:rsid w:val="00CA67D1"/>
    <w:rsid w:val="00CA7D69"/>
    <w:rsid w:val="00CB350E"/>
    <w:rsid w:val="00CB4480"/>
    <w:rsid w:val="00CB5241"/>
    <w:rsid w:val="00CB67A3"/>
    <w:rsid w:val="00CB6928"/>
    <w:rsid w:val="00CC2DBF"/>
    <w:rsid w:val="00CC3632"/>
    <w:rsid w:val="00CC5898"/>
    <w:rsid w:val="00CC72B8"/>
    <w:rsid w:val="00CC7429"/>
    <w:rsid w:val="00CD1A74"/>
    <w:rsid w:val="00CD24A5"/>
    <w:rsid w:val="00CD33C6"/>
    <w:rsid w:val="00CD456B"/>
    <w:rsid w:val="00CD4717"/>
    <w:rsid w:val="00CD4CD4"/>
    <w:rsid w:val="00CD621D"/>
    <w:rsid w:val="00CD6B81"/>
    <w:rsid w:val="00CD7965"/>
    <w:rsid w:val="00CE673D"/>
    <w:rsid w:val="00CE7580"/>
    <w:rsid w:val="00CE77A5"/>
    <w:rsid w:val="00CE7D1B"/>
    <w:rsid w:val="00CF05D5"/>
    <w:rsid w:val="00CF238B"/>
    <w:rsid w:val="00CF3C97"/>
    <w:rsid w:val="00CF4000"/>
    <w:rsid w:val="00CF57D0"/>
    <w:rsid w:val="00CF5B08"/>
    <w:rsid w:val="00CF5DB4"/>
    <w:rsid w:val="00CF5FD3"/>
    <w:rsid w:val="00D0032C"/>
    <w:rsid w:val="00D01774"/>
    <w:rsid w:val="00D01C8C"/>
    <w:rsid w:val="00D0220A"/>
    <w:rsid w:val="00D0275E"/>
    <w:rsid w:val="00D10ADE"/>
    <w:rsid w:val="00D13A4A"/>
    <w:rsid w:val="00D14A78"/>
    <w:rsid w:val="00D16773"/>
    <w:rsid w:val="00D167B7"/>
    <w:rsid w:val="00D173CE"/>
    <w:rsid w:val="00D17BFA"/>
    <w:rsid w:val="00D20A5C"/>
    <w:rsid w:val="00D2127C"/>
    <w:rsid w:val="00D21329"/>
    <w:rsid w:val="00D21E83"/>
    <w:rsid w:val="00D22DB6"/>
    <w:rsid w:val="00D25E5B"/>
    <w:rsid w:val="00D2618D"/>
    <w:rsid w:val="00D27FA3"/>
    <w:rsid w:val="00D301E3"/>
    <w:rsid w:val="00D30F70"/>
    <w:rsid w:val="00D31231"/>
    <w:rsid w:val="00D31E34"/>
    <w:rsid w:val="00D32F03"/>
    <w:rsid w:val="00D34808"/>
    <w:rsid w:val="00D35379"/>
    <w:rsid w:val="00D3608F"/>
    <w:rsid w:val="00D36636"/>
    <w:rsid w:val="00D37C61"/>
    <w:rsid w:val="00D40631"/>
    <w:rsid w:val="00D40AFC"/>
    <w:rsid w:val="00D435F1"/>
    <w:rsid w:val="00D44672"/>
    <w:rsid w:val="00D45D93"/>
    <w:rsid w:val="00D470FB"/>
    <w:rsid w:val="00D47C58"/>
    <w:rsid w:val="00D505D2"/>
    <w:rsid w:val="00D50ADA"/>
    <w:rsid w:val="00D513D2"/>
    <w:rsid w:val="00D51EA0"/>
    <w:rsid w:val="00D53003"/>
    <w:rsid w:val="00D535C3"/>
    <w:rsid w:val="00D57386"/>
    <w:rsid w:val="00D5787C"/>
    <w:rsid w:val="00D60202"/>
    <w:rsid w:val="00D62294"/>
    <w:rsid w:val="00D63355"/>
    <w:rsid w:val="00D65E5C"/>
    <w:rsid w:val="00D66A54"/>
    <w:rsid w:val="00D7015D"/>
    <w:rsid w:val="00D73F89"/>
    <w:rsid w:val="00D74ED9"/>
    <w:rsid w:val="00D75F93"/>
    <w:rsid w:val="00D828AE"/>
    <w:rsid w:val="00D82ABE"/>
    <w:rsid w:val="00D82D32"/>
    <w:rsid w:val="00D82E28"/>
    <w:rsid w:val="00D839EB"/>
    <w:rsid w:val="00D84BDC"/>
    <w:rsid w:val="00D85FE7"/>
    <w:rsid w:val="00D86459"/>
    <w:rsid w:val="00D8777C"/>
    <w:rsid w:val="00D87FA8"/>
    <w:rsid w:val="00D912C5"/>
    <w:rsid w:val="00D9157F"/>
    <w:rsid w:val="00D9307D"/>
    <w:rsid w:val="00D9415C"/>
    <w:rsid w:val="00D9483D"/>
    <w:rsid w:val="00D94EEB"/>
    <w:rsid w:val="00D96A76"/>
    <w:rsid w:val="00D96E09"/>
    <w:rsid w:val="00D972D6"/>
    <w:rsid w:val="00D97CA2"/>
    <w:rsid w:val="00D97D29"/>
    <w:rsid w:val="00DA1130"/>
    <w:rsid w:val="00DA22DC"/>
    <w:rsid w:val="00DA2A59"/>
    <w:rsid w:val="00DA32DB"/>
    <w:rsid w:val="00DA3472"/>
    <w:rsid w:val="00DA568B"/>
    <w:rsid w:val="00DA6451"/>
    <w:rsid w:val="00DA735A"/>
    <w:rsid w:val="00DA7EA1"/>
    <w:rsid w:val="00DB0632"/>
    <w:rsid w:val="00DB0EA0"/>
    <w:rsid w:val="00DB1F52"/>
    <w:rsid w:val="00DB2C67"/>
    <w:rsid w:val="00DB3A89"/>
    <w:rsid w:val="00DB4CBC"/>
    <w:rsid w:val="00DB6386"/>
    <w:rsid w:val="00DB757A"/>
    <w:rsid w:val="00DC1037"/>
    <w:rsid w:val="00DC2278"/>
    <w:rsid w:val="00DC28B2"/>
    <w:rsid w:val="00DC3806"/>
    <w:rsid w:val="00DC54F9"/>
    <w:rsid w:val="00DC5A3B"/>
    <w:rsid w:val="00DC763B"/>
    <w:rsid w:val="00DC77E0"/>
    <w:rsid w:val="00DD0B43"/>
    <w:rsid w:val="00DD1ABF"/>
    <w:rsid w:val="00DD2F68"/>
    <w:rsid w:val="00DD3A6B"/>
    <w:rsid w:val="00DD464E"/>
    <w:rsid w:val="00DD4999"/>
    <w:rsid w:val="00DD65DB"/>
    <w:rsid w:val="00DD6A4C"/>
    <w:rsid w:val="00DE0105"/>
    <w:rsid w:val="00DE0EDF"/>
    <w:rsid w:val="00DE22B2"/>
    <w:rsid w:val="00DE3954"/>
    <w:rsid w:val="00DE5ADA"/>
    <w:rsid w:val="00DF0427"/>
    <w:rsid w:val="00DF06AC"/>
    <w:rsid w:val="00DF0FAE"/>
    <w:rsid w:val="00DF2897"/>
    <w:rsid w:val="00DF2F70"/>
    <w:rsid w:val="00DF3BE4"/>
    <w:rsid w:val="00DF3D66"/>
    <w:rsid w:val="00DF46A6"/>
    <w:rsid w:val="00DF4896"/>
    <w:rsid w:val="00DF5CFE"/>
    <w:rsid w:val="00DF6127"/>
    <w:rsid w:val="00DF75CD"/>
    <w:rsid w:val="00DF7E98"/>
    <w:rsid w:val="00E009D2"/>
    <w:rsid w:val="00E00B3C"/>
    <w:rsid w:val="00E01DF9"/>
    <w:rsid w:val="00E03562"/>
    <w:rsid w:val="00E0490A"/>
    <w:rsid w:val="00E07515"/>
    <w:rsid w:val="00E1031A"/>
    <w:rsid w:val="00E117A1"/>
    <w:rsid w:val="00E11BC8"/>
    <w:rsid w:val="00E13DF0"/>
    <w:rsid w:val="00E14786"/>
    <w:rsid w:val="00E14D78"/>
    <w:rsid w:val="00E15A86"/>
    <w:rsid w:val="00E16208"/>
    <w:rsid w:val="00E20F8C"/>
    <w:rsid w:val="00E218AA"/>
    <w:rsid w:val="00E219CD"/>
    <w:rsid w:val="00E21E03"/>
    <w:rsid w:val="00E224C0"/>
    <w:rsid w:val="00E26D18"/>
    <w:rsid w:val="00E26D74"/>
    <w:rsid w:val="00E34B97"/>
    <w:rsid w:val="00E36BA3"/>
    <w:rsid w:val="00E407C4"/>
    <w:rsid w:val="00E42BE6"/>
    <w:rsid w:val="00E434E9"/>
    <w:rsid w:val="00E4573B"/>
    <w:rsid w:val="00E46DD0"/>
    <w:rsid w:val="00E4732A"/>
    <w:rsid w:val="00E50A0D"/>
    <w:rsid w:val="00E512C7"/>
    <w:rsid w:val="00E51325"/>
    <w:rsid w:val="00E514C6"/>
    <w:rsid w:val="00E53C35"/>
    <w:rsid w:val="00E542AA"/>
    <w:rsid w:val="00E56936"/>
    <w:rsid w:val="00E57142"/>
    <w:rsid w:val="00E60BA9"/>
    <w:rsid w:val="00E60D39"/>
    <w:rsid w:val="00E60D87"/>
    <w:rsid w:val="00E65898"/>
    <w:rsid w:val="00E66067"/>
    <w:rsid w:val="00E662DF"/>
    <w:rsid w:val="00E672CC"/>
    <w:rsid w:val="00E678F4"/>
    <w:rsid w:val="00E70082"/>
    <w:rsid w:val="00E7079B"/>
    <w:rsid w:val="00E7170E"/>
    <w:rsid w:val="00E71D7C"/>
    <w:rsid w:val="00E72DAF"/>
    <w:rsid w:val="00E73428"/>
    <w:rsid w:val="00E735C1"/>
    <w:rsid w:val="00E737EB"/>
    <w:rsid w:val="00E738C3"/>
    <w:rsid w:val="00E77E7B"/>
    <w:rsid w:val="00E805DC"/>
    <w:rsid w:val="00E8094F"/>
    <w:rsid w:val="00E81AF2"/>
    <w:rsid w:val="00E822ED"/>
    <w:rsid w:val="00E82E2D"/>
    <w:rsid w:val="00E86CB1"/>
    <w:rsid w:val="00E87E8C"/>
    <w:rsid w:val="00E91E27"/>
    <w:rsid w:val="00E921C3"/>
    <w:rsid w:val="00E927D0"/>
    <w:rsid w:val="00E94B9E"/>
    <w:rsid w:val="00E9515F"/>
    <w:rsid w:val="00E952E2"/>
    <w:rsid w:val="00E955FC"/>
    <w:rsid w:val="00E967A6"/>
    <w:rsid w:val="00EA04C3"/>
    <w:rsid w:val="00EA0A9C"/>
    <w:rsid w:val="00EA0D69"/>
    <w:rsid w:val="00EA28B0"/>
    <w:rsid w:val="00EA3A8B"/>
    <w:rsid w:val="00EA41BB"/>
    <w:rsid w:val="00EA51CF"/>
    <w:rsid w:val="00EA528F"/>
    <w:rsid w:val="00EA55EF"/>
    <w:rsid w:val="00EA5770"/>
    <w:rsid w:val="00EA6D42"/>
    <w:rsid w:val="00EA735B"/>
    <w:rsid w:val="00EA7AE6"/>
    <w:rsid w:val="00EA7B9F"/>
    <w:rsid w:val="00EA7D37"/>
    <w:rsid w:val="00EB044F"/>
    <w:rsid w:val="00EB07AD"/>
    <w:rsid w:val="00EB1715"/>
    <w:rsid w:val="00EB4D82"/>
    <w:rsid w:val="00EB557E"/>
    <w:rsid w:val="00EB5918"/>
    <w:rsid w:val="00EB5B2F"/>
    <w:rsid w:val="00EB72A0"/>
    <w:rsid w:val="00EB7598"/>
    <w:rsid w:val="00EB7D95"/>
    <w:rsid w:val="00EC059C"/>
    <w:rsid w:val="00EC0BCB"/>
    <w:rsid w:val="00EC1DB2"/>
    <w:rsid w:val="00EC50E4"/>
    <w:rsid w:val="00EC50E9"/>
    <w:rsid w:val="00EC56D7"/>
    <w:rsid w:val="00EC5F58"/>
    <w:rsid w:val="00EC6352"/>
    <w:rsid w:val="00EC6CF0"/>
    <w:rsid w:val="00EC7037"/>
    <w:rsid w:val="00EC711E"/>
    <w:rsid w:val="00EC7935"/>
    <w:rsid w:val="00ED0AF3"/>
    <w:rsid w:val="00ED0FF5"/>
    <w:rsid w:val="00ED1B5B"/>
    <w:rsid w:val="00ED34EA"/>
    <w:rsid w:val="00ED3F35"/>
    <w:rsid w:val="00ED5367"/>
    <w:rsid w:val="00ED6CE1"/>
    <w:rsid w:val="00ED7051"/>
    <w:rsid w:val="00ED77FE"/>
    <w:rsid w:val="00ED79F2"/>
    <w:rsid w:val="00ED7F7B"/>
    <w:rsid w:val="00EE0281"/>
    <w:rsid w:val="00EE2DB9"/>
    <w:rsid w:val="00EE3942"/>
    <w:rsid w:val="00EE3D77"/>
    <w:rsid w:val="00EE3E68"/>
    <w:rsid w:val="00EE425B"/>
    <w:rsid w:val="00EE53F4"/>
    <w:rsid w:val="00EE6D93"/>
    <w:rsid w:val="00EE725F"/>
    <w:rsid w:val="00EF0D8C"/>
    <w:rsid w:val="00EF4213"/>
    <w:rsid w:val="00EF4CBB"/>
    <w:rsid w:val="00EF55A3"/>
    <w:rsid w:val="00EF5F47"/>
    <w:rsid w:val="00EF653E"/>
    <w:rsid w:val="00EF6F78"/>
    <w:rsid w:val="00EF7420"/>
    <w:rsid w:val="00EF7A05"/>
    <w:rsid w:val="00F00E1B"/>
    <w:rsid w:val="00F02986"/>
    <w:rsid w:val="00F02C13"/>
    <w:rsid w:val="00F02DF9"/>
    <w:rsid w:val="00F03A54"/>
    <w:rsid w:val="00F05E2C"/>
    <w:rsid w:val="00F061DF"/>
    <w:rsid w:val="00F0727F"/>
    <w:rsid w:val="00F1070D"/>
    <w:rsid w:val="00F11CF7"/>
    <w:rsid w:val="00F12BB9"/>
    <w:rsid w:val="00F12C61"/>
    <w:rsid w:val="00F13702"/>
    <w:rsid w:val="00F157B6"/>
    <w:rsid w:val="00F1611D"/>
    <w:rsid w:val="00F1648E"/>
    <w:rsid w:val="00F16F6A"/>
    <w:rsid w:val="00F17FB6"/>
    <w:rsid w:val="00F20407"/>
    <w:rsid w:val="00F211A2"/>
    <w:rsid w:val="00F2174F"/>
    <w:rsid w:val="00F2204E"/>
    <w:rsid w:val="00F22589"/>
    <w:rsid w:val="00F22DC8"/>
    <w:rsid w:val="00F24C40"/>
    <w:rsid w:val="00F26812"/>
    <w:rsid w:val="00F26A16"/>
    <w:rsid w:val="00F26DD7"/>
    <w:rsid w:val="00F3084A"/>
    <w:rsid w:val="00F309D4"/>
    <w:rsid w:val="00F30BDC"/>
    <w:rsid w:val="00F331A3"/>
    <w:rsid w:val="00F339B3"/>
    <w:rsid w:val="00F36E9D"/>
    <w:rsid w:val="00F371D0"/>
    <w:rsid w:val="00F37357"/>
    <w:rsid w:val="00F37708"/>
    <w:rsid w:val="00F3798A"/>
    <w:rsid w:val="00F401B3"/>
    <w:rsid w:val="00F404B3"/>
    <w:rsid w:val="00F42783"/>
    <w:rsid w:val="00F43A9B"/>
    <w:rsid w:val="00F43CA5"/>
    <w:rsid w:val="00F4441E"/>
    <w:rsid w:val="00F449D2"/>
    <w:rsid w:val="00F458A9"/>
    <w:rsid w:val="00F4590A"/>
    <w:rsid w:val="00F47BEC"/>
    <w:rsid w:val="00F50391"/>
    <w:rsid w:val="00F5053D"/>
    <w:rsid w:val="00F51236"/>
    <w:rsid w:val="00F51753"/>
    <w:rsid w:val="00F52066"/>
    <w:rsid w:val="00F522CD"/>
    <w:rsid w:val="00F52BBF"/>
    <w:rsid w:val="00F535CC"/>
    <w:rsid w:val="00F53D34"/>
    <w:rsid w:val="00F57E36"/>
    <w:rsid w:val="00F60AB5"/>
    <w:rsid w:val="00F6131F"/>
    <w:rsid w:val="00F62443"/>
    <w:rsid w:val="00F627D3"/>
    <w:rsid w:val="00F6340F"/>
    <w:rsid w:val="00F64660"/>
    <w:rsid w:val="00F65B7F"/>
    <w:rsid w:val="00F65C24"/>
    <w:rsid w:val="00F66CA3"/>
    <w:rsid w:val="00F67A49"/>
    <w:rsid w:val="00F67F76"/>
    <w:rsid w:val="00F72449"/>
    <w:rsid w:val="00F727C5"/>
    <w:rsid w:val="00F745C8"/>
    <w:rsid w:val="00F745EE"/>
    <w:rsid w:val="00F74BD5"/>
    <w:rsid w:val="00F74F35"/>
    <w:rsid w:val="00F757CF"/>
    <w:rsid w:val="00F75947"/>
    <w:rsid w:val="00F775D3"/>
    <w:rsid w:val="00F77FD6"/>
    <w:rsid w:val="00F85475"/>
    <w:rsid w:val="00F91845"/>
    <w:rsid w:val="00F931C5"/>
    <w:rsid w:val="00F9412D"/>
    <w:rsid w:val="00F94ED5"/>
    <w:rsid w:val="00F952F2"/>
    <w:rsid w:val="00FA0AB4"/>
    <w:rsid w:val="00FA2634"/>
    <w:rsid w:val="00FA3B01"/>
    <w:rsid w:val="00FA3C1A"/>
    <w:rsid w:val="00FA4D96"/>
    <w:rsid w:val="00FA64D1"/>
    <w:rsid w:val="00FA6FDA"/>
    <w:rsid w:val="00FA6FE2"/>
    <w:rsid w:val="00FA76A9"/>
    <w:rsid w:val="00FA79D2"/>
    <w:rsid w:val="00FB3668"/>
    <w:rsid w:val="00FB4682"/>
    <w:rsid w:val="00FB5251"/>
    <w:rsid w:val="00FB5BDC"/>
    <w:rsid w:val="00FB61B3"/>
    <w:rsid w:val="00FB75CA"/>
    <w:rsid w:val="00FC27FB"/>
    <w:rsid w:val="00FC3812"/>
    <w:rsid w:val="00FC3B93"/>
    <w:rsid w:val="00FC3E2C"/>
    <w:rsid w:val="00FC4079"/>
    <w:rsid w:val="00FC54C6"/>
    <w:rsid w:val="00FC60E8"/>
    <w:rsid w:val="00FD2442"/>
    <w:rsid w:val="00FD3611"/>
    <w:rsid w:val="00FD4191"/>
    <w:rsid w:val="00FD5206"/>
    <w:rsid w:val="00FD5D90"/>
    <w:rsid w:val="00FD60B0"/>
    <w:rsid w:val="00FD67FF"/>
    <w:rsid w:val="00FE0CD1"/>
    <w:rsid w:val="00FE14B2"/>
    <w:rsid w:val="00FE40DD"/>
    <w:rsid w:val="00FE4CBA"/>
    <w:rsid w:val="00FF11B4"/>
    <w:rsid w:val="00FF1B4D"/>
    <w:rsid w:val="00FF3965"/>
    <w:rsid w:val="00FF3F4C"/>
    <w:rsid w:val="00FF4825"/>
    <w:rsid w:val="00FF6A60"/>
    <w:rsid w:val="00FF7CDD"/>
    <w:rsid w:val="015C7A70"/>
    <w:rsid w:val="02365BF4"/>
    <w:rsid w:val="04385A50"/>
    <w:rsid w:val="04F86AE2"/>
    <w:rsid w:val="06E55FA3"/>
    <w:rsid w:val="08CC019B"/>
    <w:rsid w:val="09163015"/>
    <w:rsid w:val="0A426F03"/>
    <w:rsid w:val="0BBC3BC4"/>
    <w:rsid w:val="0E224172"/>
    <w:rsid w:val="0F432BF0"/>
    <w:rsid w:val="10143474"/>
    <w:rsid w:val="10B36ECA"/>
    <w:rsid w:val="11A513D4"/>
    <w:rsid w:val="18786FBB"/>
    <w:rsid w:val="18845640"/>
    <w:rsid w:val="1AED20F3"/>
    <w:rsid w:val="1EFD7B44"/>
    <w:rsid w:val="1F915EC0"/>
    <w:rsid w:val="20320823"/>
    <w:rsid w:val="216A156C"/>
    <w:rsid w:val="2181050F"/>
    <w:rsid w:val="21EE39C4"/>
    <w:rsid w:val="227472D9"/>
    <w:rsid w:val="22E916D3"/>
    <w:rsid w:val="231F5605"/>
    <w:rsid w:val="23F922BC"/>
    <w:rsid w:val="24831068"/>
    <w:rsid w:val="27471685"/>
    <w:rsid w:val="296D34D2"/>
    <w:rsid w:val="2CFB34CD"/>
    <w:rsid w:val="2EAE1861"/>
    <w:rsid w:val="2EB35A97"/>
    <w:rsid w:val="306449F5"/>
    <w:rsid w:val="333217A1"/>
    <w:rsid w:val="37917353"/>
    <w:rsid w:val="37CB1079"/>
    <w:rsid w:val="39763F61"/>
    <w:rsid w:val="398D5BCD"/>
    <w:rsid w:val="3B824534"/>
    <w:rsid w:val="3F1B36FF"/>
    <w:rsid w:val="413B2047"/>
    <w:rsid w:val="424C5250"/>
    <w:rsid w:val="45E85DF0"/>
    <w:rsid w:val="470D3C59"/>
    <w:rsid w:val="489558CC"/>
    <w:rsid w:val="48B916BE"/>
    <w:rsid w:val="49414B5A"/>
    <w:rsid w:val="49C223DB"/>
    <w:rsid w:val="4AA80EF2"/>
    <w:rsid w:val="4B9C4806"/>
    <w:rsid w:val="4BFF7C21"/>
    <w:rsid w:val="4DA97B07"/>
    <w:rsid w:val="504813C4"/>
    <w:rsid w:val="51C66887"/>
    <w:rsid w:val="520439A0"/>
    <w:rsid w:val="56327C97"/>
    <w:rsid w:val="56EB37A4"/>
    <w:rsid w:val="5AB727C7"/>
    <w:rsid w:val="5BAB7026"/>
    <w:rsid w:val="5BFF4732"/>
    <w:rsid w:val="5C576D7D"/>
    <w:rsid w:val="60595649"/>
    <w:rsid w:val="625C15FF"/>
    <w:rsid w:val="63087651"/>
    <w:rsid w:val="631F24F1"/>
    <w:rsid w:val="632B0933"/>
    <w:rsid w:val="64C96855"/>
    <w:rsid w:val="667E777B"/>
    <w:rsid w:val="6868355A"/>
    <w:rsid w:val="6CA72EBA"/>
    <w:rsid w:val="6D5D078F"/>
    <w:rsid w:val="6F6E6FDD"/>
    <w:rsid w:val="6F9F1920"/>
    <w:rsid w:val="71AE4F67"/>
    <w:rsid w:val="72624C4E"/>
    <w:rsid w:val="729F718E"/>
    <w:rsid w:val="7326486D"/>
    <w:rsid w:val="743746BF"/>
    <w:rsid w:val="74A230A6"/>
    <w:rsid w:val="74D67F88"/>
    <w:rsid w:val="751213DB"/>
    <w:rsid w:val="758665F8"/>
    <w:rsid w:val="77111100"/>
    <w:rsid w:val="772775C2"/>
    <w:rsid w:val="785626E6"/>
    <w:rsid w:val="79BB48EA"/>
    <w:rsid w:val="7D8C6F5E"/>
    <w:rsid w:val="7DC31EC9"/>
    <w:rsid w:val="7FCB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outlineLvl w:val="0"/>
    </w:pPr>
    <w:rPr>
      <w:rFonts w:ascii="楷体_GB2312" w:eastAsia="楷体_GB2312"/>
      <w:sz w:val="28"/>
      <w:szCs w:val="20"/>
    </w:rPr>
  </w:style>
  <w:style w:type="paragraph" w:styleId="3">
    <w:name w:val="heading 2"/>
    <w:basedOn w:val="1"/>
    <w:next w:val="1"/>
    <w:link w:val="65"/>
    <w:qFormat/>
    <w:uiPriority w:val="0"/>
    <w:pPr>
      <w:keepNext/>
      <w:keepLines/>
      <w:spacing w:before="260" w:after="260" w:line="416" w:lineRule="auto"/>
      <w:jc w:val="center"/>
      <w:outlineLvl w:val="1"/>
    </w:pPr>
    <w:rPr>
      <w:rFonts w:ascii="幼圆" w:hAnsi="Arial" w:eastAsia="楷体_GB2312"/>
      <w:b/>
      <w:sz w:val="24"/>
      <w:szCs w:val="20"/>
    </w:rPr>
  </w:style>
  <w:style w:type="paragraph" w:styleId="4">
    <w:name w:val="heading 3"/>
    <w:basedOn w:val="1"/>
    <w:next w:val="1"/>
    <w:link w:val="66"/>
    <w:qFormat/>
    <w:uiPriority w:val="0"/>
    <w:pPr>
      <w:keepNext/>
      <w:keepLines/>
      <w:spacing w:before="260" w:after="260" w:line="416" w:lineRule="auto"/>
      <w:outlineLvl w:val="2"/>
    </w:pPr>
    <w:rPr>
      <w:b/>
      <w:szCs w:val="20"/>
    </w:rPr>
  </w:style>
  <w:style w:type="paragraph" w:styleId="5">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8"/>
    <w:qFormat/>
    <w:uiPriority w:val="0"/>
    <w:pPr>
      <w:keepNext/>
      <w:keepLines/>
      <w:numPr>
        <w:ilvl w:val="4"/>
        <w:numId w:val="1"/>
      </w:numPr>
      <w:spacing w:before="280" w:after="290" w:line="376" w:lineRule="auto"/>
      <w:outlineLvl w:val="4"/>
    </w:pPr>
    <w:rPr>
      <w:rFonts w:ascii="宋体"/>
      <w:b/>
      <w:spacing w:val="-2"/>
      <w:position w:val="-6"/>
      <w:sz w:val="28"/>
      <w:szCs w:val="20"/>
    </w:rPr>
  </w:style>
  <w:style w:type="paragraph" w:styleId="8">
    <w:name w:val="heading 6"/>
    <w:basedOn w:val="1"/>
    <w:next w:val="7"/>
    <w:link w:val="69"/>
    <w:qFormat/>
    <w:uiPriority w:val="0"/>
    <w:pPr>
      <w:keepNext/>
      <w:keepLines/>
      <w:numPr>
        <w:ilvl w:val="5"/>
        <w:numId w:val="1"/>
      </w:numPr>
      <w:spacing w:before="240" w:after="64" w:line="320" w:lineRule="auto"/>
      <w:outlineLvl w:val="5"/>
    </w:pPr>
    <w:rPr>
      <w:rFonts w:ascii="Arial" w:hAnsi="Arial" w:eastAsia="黑体"/>
      <w:b/>
      <w:spacing w:val="-2"/>
      <w:position w:val="-6"/>
      <w:sz w:val="24"/>
      <w:szCs w:val="20"/>
    </w:rPr>
  </w:style>
  <w:style w:type="paragraph" w:styleId="9">
    <w:name w:val="heading 7"/>
    <w:basedOn w:val="1"/>
    <w:next w:val="7"/>
    <w:link w:val="70"/>
    <w:qFormat/>
    <w:uiPriority w:val="0"/>
    <w:pPr>
      <w:keepNext/>
      <w:keepLines/>
      <w:numPr>
        <w:ilvl w:val="6"/>
        <w:numId w:val="1"/>
      </w:numPr>
      <w:spacing w:before="240" w:after="64" w:line="320" w:lineRule="auto"/>
      <w:outlineLvl w:val="6"/>
    </w:pPr>
    <w:rPr>
      <w:rFonts w:ascii="宋体"/>
      <w:b/>
      <w:spacing w:val="-2"/>
      <w:position w:val="-6"/>
      <w:sz w:val="24"/>
      <w:szCs w:val="20"/>
    </w:rPr>
  </w:style>
  <w:style w:type="paragraph" w:styleId="10">
    <w:name w:val="heading 8"/>
    <w:basedOn w:val="1"/>
    <w:next w:val="7"/>
    <w:link w:val="71"/>
    <w:qFormat/>
    <w:uiPriority w:val="0"/>
    <w:pPr>
      <w:keepNext/>
      <w:keepLines/>
      <w:numPr>
        <w:ilvl w:val="7"/>
        <w:numId w:val="1"/>
      </w:numPr>
      <w:spacing w:before="240" w:after="64" w:line="320" w:lineRule="auto"/>
      <w:outlineLvl w:val="7"/>
    </w:pPr>
    <w:rPr>
      <w:rFonts w:ascii="Arial" w:hAnsi="Arial" w:eastAsia="黑体"/>
      <w:spacing w:val="-2"/>
      <w:position w:val="-6"/>
      <w:sz w:val="24"/>
      <w:szCs w:val="20"/>
    </w:rPr>
  </w:style>
  <w:style w:type="paragraph" w:styleId="11">
    <w:name w:val="heading 9"/>
    <w:basedOn w:val="1"/>
    <w:next w:val="7"/>
    <w:link w:val="72"/>
    <w:qFormat/>
    <w:uiPriority w:val="0"/>
    <w:pPr>
      <w:keepNext/>
      <w:keepLines/>
      <w:numPr>
        <w:ilvl w:val="8"/>
        <w:numId w:val="1"/>
      </w:numPr>
      <w:spacing w:before="240" w:after="64" w:line="320" w:lineRule="auto"/>
      <w:outlineLvl w:val="8"/>
    </w:pPr>
    <w:rPr>
      <w:rFonts w:ascii="Arial" w:hAnsi="Arial" w:eastAsia="黑体"/>
      <w:spacing w:val="-2"/>
      <w:position w:val="-6"/>
      <w:sz w:val="28"/>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3"/>
    <w:qFormat/>
    <w:uiPriority w:val="0"/>
    <w:pPr>
      <w:ind w:firstLine="420"/>
    </w:pPr>
    <w:rPr>
      <w:szCs w:val="20"/>
    </w:rPr>
  </w:style>
  <w:style w:type="paragraph" w:styleId="12">
    <w:name w:val="List 3"/>
    <w:basedOn w:val="1"/>
    <w:qFormat/>
    <w:uiPriority w:val="0"/>
    <w:pPr>
      <w:ind w:left="100" w:leftChars="400" w:hanging="200" w:hangingChars="200"/>
    </w:pPr>
    <w:rPr>
      <w:szCs w:val="21"/>
    </w:rPr>
  </w:style>
  <w:style w:type="paragraph" w:styleId="13">
    <w:name w:val="toc 7"/>
    <w:basedOn w:val="1"/>
    <w:next w:val="1"/>
    <w:semiHidden/>
    <w:qFormat/>
    <w:uiPriority w:val="0"/>
    <w:pPr>
      <w:ind w:left="2520" w:leftChars="1200"/>
    </w:pPr>
  </w:style>
  <w:style w:type="paragraph" w:styleId="14">
    <w:name w:val="List Number"/>
    <w:basedOn w:val="15"/>
    <w:qFormat/>
    <w:uiPriority w:val="0"/>
    <w:pPr>
      <w:widowControl/>
      <w:spacing w:before="120" w:after="240" w:line="240" w:lineRule="atLeast"/>
      <w:ind w:left="720" w:right="720" w:hanging="360" w:firstLineChars="0"/>
    </w:pPr>
    <w:rPr>
      <w:rFonts w:ascii="宋体" w:hAnsi="Garamond"/>
      <w:spacing w:val="-5"/>
      <w:kern w:val="0"/>
      <w:sz w:val="24"/>
      <w:szCs w:val="20"/>
    </w:rPr>
  </w:style>
  <w:style w:type="paragraph" w:styleId="15">
    <w:name w:val="List"/>
    <w:basedOn w:val="1"/>
    <w:qFormat/>
    <w:uiPriority w:val="0"/>
    <w:pPr>
      <w:ind w:left="200" w:hanging="200" w:hangingChars="200"/>
    </w:pPr>
    <w:rPr>
      <w:szCs w:val="21"/>
    </w:rPr>
  </w:style>
  <w:style w:type="paragraph" w:styleId="16">
    <w:name w:val="caption"/>
    <w:basedOn w:val="1"/>
    <w:next w:val="1"/>
    <w:qFormat/>
    <w:uiPriority w:val="0"/>
    <w:pPr>
      <w:spacing w:before="152" w:after="160"/>
    </w:pPr>
    <w:rPr>
      <w:rFonts w:ascii="Arial" w:hAnsi="Arial" w:eastAsia="黑体"/>
      <w:szCs w:val="20"/>
    </w:rPr>
  </w:style>
  <w:style w:type="paragraph" w:styleId="17">
    <w:name w:val="List Bullet"/>
    <w:basedOn w:val="1"/>
    <w:qFormat/>
    <w:uiPriority w:val="0"/>
    <w:pPr>
      <w:tabs>
        <w:tab w:val="left" w:pos="360"/>
      </w:tabs>
      <w:ind w:left="360"/>
    </w:pPr>
    <w:rPr>
      <w:szCs w:val="20"/>
    </w:rPr>
  </w:style>
  <w:style w:type="paragraph" w:styleId="18">
    <w:name w:val="Document Map"/>
    <w:basedOn w:val="1"/>
    <w:link w:val="88"/>
    <w:qFormat/>
    <w:uiPriority w:val="0"/>
    <w:rPr>
      <w:rFonts w:ascii="宋体"/>
      <w:sz w:val="18"/>
      <w:szCs w:val="18"/>
    </w:rPr>
  </w:style>
  <w:style w:type="paragraph" w:styleId="19">
    <w:name w:val="toa heading"/>
    <w:basedOn w:val="1"/>
    <w:next w:val="1"/>
    <w:semiHidden/>
    <w:qFormat/>
    <w:uiPriority w:val="0"/>
    <w:pPr>
      <w:spacing w:before="120"/>
    </w:pPr>
    <w:rPr>
      <w:rFonts w:ascii="Arial" w:hAnsi="Arial" w:cs="Arial"/>
      <w:sz w:val="24"/>
    </w:rPr>
  </w:style>
  <w:style w:type="paragraph" w:styleId="20">
    <w:name w:val="annotation text"/>
    <w:basedOn w:val="1"/>
    <w:link w:val="176"/>
    <w:qFormat/>
    <w:uiPriority w:val="0"/>
    <w:pPr>
      <w:jc w:val="left"/>
    </w:pPr>
    <w:rPr>
      <w:rFonts w:ascii="Calibri" w:hAnsi="Calibri"/>
      <w:szCs w:val="22"/>
    </w:rPr>
  </w:style>
  <w:style w:type="paragraph" w:styleId="21">
    <w:name w:val="Body Text 3"/>
    <w:basedOn w:val="1"/>
    <w:link w:val="76"/>
    <w:qFormat/>
    <w:uiPriority w:val="0"/>
    <w:rPr>
      <w:rFonts w:ascii="仿宋_GB2312" w:hAnsi="Arial" w:eastAsia="仿宋_GB2312"/>
      <w:sz w:val="32"/>
      <w:szCs w:val="20"/>
    </w:rPr>
  </w:style>
  <w:style w:type="paragraph" w:styleId="22">
    <w:name w:val="Body Text"/>
    <w:basedOn w:val="1"/>
    <w:link w:val="77"/>
    <w:qFormat/>
    <w:uiPriority w:val="0"/>
    <w:rPr>
      <w:rFonts w:ascii="楷体_GB2312" w:hAnsi="Arial" w:eastAsia="楷体_GB2312"/>
      <w:sz w:val="28"/>
      <w:szCs w:val="20"/>
    </w:rPr>
  </w:style>
  <w:style w:type="paragraph" w:styleId="23">
    <w:name w:val="Body Text Indent"/>
    <w:basedOn w:val="1"/>
    <w:link w:val="78"/>
    <w:qFormat/>
    <w:uiPriority w:val="99"/>
    <w:pPr>
      <w:ind w:firstLine="645"/>
    </w:pPr>
    <w:rPr>
      <w:rFonts w:ascii="楷体_GB2312" w:eastAsia="楷体_GB2312"/>
      <w:sz w:val="32"/>
      <w:szCs w:val="20"/>
    </w:rPr>
  </w:style>
  <w:style w:type="paragraph" w:styleId="24">
    <w:name w:val="List 2"/>
    <w:basedOn w:val="1"/>
    <w:qFormat/>
    <w:uiPriority w:val="0"/>
    <w:pPr>
      <w:ind w:left="100" w:leftChars="200" w:hanging="200" w:hangingChars="200"/>
    </w:pPr>
    <w:rPr>
      <w:szCs w:val="21"/>
    </w:rPr>
  </w:style>
  <w:style w:type="paragraph" w:styleId="25">
    <w:name w:val="List Continue"/>
    <w:basedOn w:val="1"/>
    <w:qFormat/>
    <w:uiPriority w:val="0"/>
    <w:pPr>
      <w:spacing w:after="120"/>
      <w:ind w:left="420"/>
    </w:pPr>
    <w:rPr>
      <w:szCs w:val="20"/>
    </w:rPr>
  </w:style>
  <w:style w:type="paragraph" w:styleId="26">
    <w:name w:val="Block Text"/>
    <w:basedOn w:val="1"/>
    <w:qFormat/>
    <w:uiPriority w:val="0"/>
    <w:pPr>
      <w:ind w:left="630" w:leftChars="300" w:right="630" w:rightChars="300"/>
      <w:jc w:val="center"/>
    </w:pPr>
    <w:rPr>
      <w:rFonts w:ascii="宋体"/>
      <w:b/>
      <w:sz w:val="32"/>
    </w:rPr>
  </w:style>
  <w:style w:type="paragraph" w:styleId="27">
    <w:name w:val="List Bullet 2"/>
    <w:basedOn w:val="1"/>
    <w:qFormat/>
    <w:uiPriority w:val="0"/>
    <w:pPr>
      <w:numPr>
        <w:ilvl w:val="0"/>
        <w:numId w:val="2"/>
      </w:numPr>
      <w:tabs>
        <w:tab w:val="left" w:pos="720"/>
        <w:tab w:val="clear" w:pos="780"/>
      </w:tabs>
      <w:ind w:left="720" w:hanging="720"/>
    </w:pPr>
    <w:rPr>
      <w:szCs w:val="20"/>
    </w:rPr>
  </w:style>
  <w:style w:type="paragraph" w:styleId="28">
    <w:name w:val="toc 5"/>
    <w:basedOn w:val="1"/>
    <w:next w:val="1"/>
    <w:semiHidden/>
    <w:qFormat/>
    <w:uiPriority w:val="0"/>
    <w:pPr>
      <w:ind w:left="1680" w:leftChars="800"/>
    </w:pPr>
  </w:style>
  <w:style w:type="paragraph" w:styleId="29">
    <w:name w:val="toc 3"/>
    <w:basedOn w:val="1"/>
    <w:next w:val="1"/>
    <w:semiHidden/>
    <w:qFormat/>
    <w:uiPriority w:val="0"/>
    <w:pPr>
      <w:ind w:left="420"/>
      <w:jc w:val="left"/>
    </w:pPr>
    <w:rPr>
      <w:i/>
      <w:iCs/>
    </w:rPr>
  </w:style>
  <w:style w:type="paragraph" w:styleId="30">
    <w:name w:val="Plain Text"/>
    <w:basedOn w:val="1"/>
    <w:link w:val="84"/>
    <w:qFormat/>
    <w:uiPriority w:val="0"/>
    <w:rPr>
      <w:rFonts w:ascii="宋体" w:hAnsi="Courier New"/>
      <w:szCs w:val="20"/>
    </w:rPr>
  </w:style>
  <w:style w:type="paragraph" w:styleId="31">
    <w:name w:val="toc 8"/>
    <w:basedOn w:val="1"/>
    <w:next w:val="1"/>
    <w:semiHidden/>
    <w:qFormat/>
    <w:uiPriority w:val="0"/>
    <w:pPr>
      <w:ind w:left="2940" w:leftChars="1400"/>
    </w:pPr>
  </w:style>
  <w:style w:type="paragraph" w:styleId="32">
    <w:name w:val="Date"/>
    <w:basedOn w:val="1"/>
    <w:next w:val="1"/>
    <w:link w:val="82"/>
    <w:qFormat/>
    <w:uiPriority w:val="0"/>
    <w:pPr>
      <w:ind w:left="100" w:leftChars="2500"/>
    </w:pPr>
    <w:rPr>
      <w:rFonts w:ascii="仿宋_GB2312" w:eastAsia="仿宋_GB2312"/>
      <w:b/>
      <w:sz w:val="36"/>
    </w:rPr>
  </w:style>
  <w:style w:type="paragraph" w:styleId="33">
    <w:name w:val="Body Text Indent 2"/>
    <w:basedOn w:val="1"/>
    <w:link w:val="75"/>
    <w:qFormat/>
    <w:uiPriority w:val="0"/>
    <w:pPr>
      <w:spacing w:line="520" w:lineRule="exact"/>
      <w:ind w:firstLine="560" w:firstLineChars="200"/>
    </w:pPr>
    <w:rPr>
      <w:rFonts w:ascii="楷体_GB2312" w:eastAsia="楷体_GB2312"/>
      <w:sz w:val="28"/>
      <w:szCs w:val="28"/>
    </w:rPr>
  </w:style>
  <w:style w:type="paragraph" w:styleId="34">
    <w:name w:val="Balloon Text"/>
    <w:basedOn w:val="1"/>
    <w:link w:val="89"/>
    <w:qFormat/>
    <w:uiPriority w:val="0"/>
    <w:rPr>
      <w:sz w:val="18"/>
      <w:szCs w:val="18"/>
    </w:rPr>
  </w:style>
  <w:style w:type="paragraph" w:styleId="35">
    <w:name w:val="footer"/>
    <w:basedOn w:val="1"/>
    <w:link w:val="80"/>
    <w:qFormat/>
    <w:uiPriority w:val="99"/>
    <w:pPr>
      <w:tabs>
        <w:tab w:val="center" w:pos="4153"/>
        <w:tab w:val="right" w:pos="8306"/>
      </w:tabs>
      <w:snapToGrid w:val="0"/>
      <w:jc w:val="left"/>
    </w:pPr>
    <w:rPr>
      <w:sz w:val="18"/>
      <w:szCs w:val="20"/>
    </w:rPr>
  </w:style>
  <w:style w:type="paragraph" w:styleId="36">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semiHidden/>
    <w:qFormat/>
    <w:uiPriority w:val="0"/>
    <w:pPr>
      <w:spacing w:before="120" w:after="120"/>
      <w:ind w:firstLine="3048" w:firstLineChars="690"/>
      <w:jc w:val="left"/>
    </w:pPr>
    <w:rPr>
      <w:rFonts w:ascii="楷体_GB2312" w:eastAsia="楷体_GB2312"/>
      <w:b/>
      <w:bCs/>
      <w:caps/>
      <w:sz w:val="44"/>
      <w:szCs w:val="44"/>
    </w:rPr>
  </w:style>
  <w:style w:type="paragraph" w:styleId="38">
    <w:name w:val="toc 4"/>
    <w:basedOn w:val="1"/>
    <w:next w:val="1"/>
    <w:semiHidden/>
    <w:qFormat/>
    <w:uiPriority w:val="0"/>
    <w:pPr>
      <w:ind w:left="1260" w:leftChars="600"/>
    </w:pPr>
  </w:style>
  <w:style w:type="paragraph" w:styleId="39">
    <w:name w:val="toc 6"/>
    <w:basedOn w:val="1"/>
    <w:next w:val="1"/>
    <w:semiHidden/>
    <w:qFormat/>
    <w:uiPriority w:val="0"/>
    <w:pPr>
      <w:ind w:left="2100" w:leftChars="1000"/>
    </w:pPr>
  </w:style>
  <w:style w:type="paragraph" w:styleId="40">
    <w:name w:val="List 5"/>
    <w:basedOn w:val="1"/>
    <w:qFormat/>
    <w:uiPriority w:val="0"/>
    <w:pPr>
      <w:ind w:left="2100" w:hanging="420"/>
    </w:pPr>
    <w:rPr>
      <w:szCs w:val="20"/>
    </w:rPr>
  </w:style>
  <w:style w:type="paragraph" w:styleId="41">
    <w:name w:val="Body Text Indent 3"/>
    <w:basedOn w:val="1"/>
    <w:link w:val="79"/>
    <w:qFormat/>
    <w:uiPriority w:val="0"/>
    <w:pPr>
      <w:ind w:left="520" w:firstLine="425"/>
      <w:jc w:val="center"/>
    </w:pPr>
    <w:rPr>
      <w:rFonts w:ascii="方正行楷简体" w:hAnsi="Arial" w:eastAsia="方正行楷简体"/>
      <w:sz w:val="36"/>
      <w:szCs w:val="20"/>
    </w:rPr>
  </w:style>
  <w:style w:type="paragraph" w:styleId="42">
    <w:name w:val="toc 2"/>
    <w:basedOn w:val="1"/>
    <w:next w:val="1"/>
    <w:semiHidden/>
    <w:qFormat/>
    <w:uiPriority w:val="0"/>
    <w:pPr>
      <w:tabs>
        <w:tab w:val="right" w:leader="dot" w:pos="9118"/>
      </w:tabs>
      <w:ind w:left="420" w:leftChars="200"/>
    </w:pPr>
    <w:rPr>
      <w:rFonts w:ascii="楷体_GB2312" w:eastAsia="楷体_GB2312"/>
      <w:bCs/>
      <w:szCs w:val="44"/>
    </w:rPr>
  </w:style>
  <w:style w:type="paragraph" w:styleId="43">
    <w:name w:val="toc 9"/>
    <w:basedOn w:val="1"/>
    <w:next w:val="1"/>
    <w:semiHidden/>
    <w:qFormat/>
    <w:uiPriority w:val="0"/>
    <w:pPr>
      <w:ind w:left="3360" w:leftChars="1600"/>
    </w:pPr>
  </w:style>
  <w:style w:type="paragraph" w:styleId="44">
    <w:name w:val="Body Text 2"/>
    <w:basedOn w:val="1"/>
    <w:link w:val="85"/>
    <w:qFormat/>
    <w:uiPriority w:val="0"/>
    <w:pPr>
      <w:spacing w:after="120" w:line="480" w:lineRule="auto"/>
    </w:pPr>
  </w:style>
  <w:style w:type="paragraph" w:styleId="45">
    <w:name w:val="List 4"/>
    <w:basedOn w:val="1"/>
    <w:qFormat/>
    <w:uiPriority w:val="0"/>
    <w:pPr>
      <w:ind w:left="1680" w:hanging="420"/>
    </w:pPr>
    <w:rPr>
      <w:szCs w:val="20"/>
    </w:rPr>
  </w:style>
  <w:style w:type="paragraph" w:styleId="46">
    <w:name w:val="List Continue 2"/>
    <w:basedOn w:val="1"/>
    <w:qFormat/>
    <w:uiPriority w:val="0"/>
    <w:pPr>
      <w:spacing w:after="120"/>
      <w:ind w:left="840"/>
    </w:pPr>
    <w:rPr>
      <w:szCs w:val="20"/>
    </w:rPr>
  </w:style>
  <w:style w:type="paragraph" w:styleId="47">
    <w:name w:val="Message Header"/>
    <w:basedOn w:val="22"/>
    <w:link w:val="148"/>
    <w:qFormat/>
    <w:uiPriority w:val="0"/>
    <w:pPr>
      <w:keepLines/>
      <w:widowControl/>
      <w:spacing w:after="40" w:line="140" w:lineRule="atLeast"/>
      <w:ind w:left="360"/>
      <w:jc w:val="left"/>
    </w:pPr>
    <w:rPr>
      <w:rFonts w:ascii="Garamond" w:hAnsi="Garamond" w:eastAsia="宋体"/>
      <w:kern w:val="0"/>
      <w:sz w:val="18"/>
      <w:lang w:bidi="he-IL"/>
    </w:rPr>
  </w:style>
  <w:style w:type="paragraph" w:styleId="48">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link w:val="169"/>
    <w:qFormat/>
    <w:uiPriority w:val="99"/>
    <w:pPr>
      <w:widowControl/>
      <w:spacing w:before="100" w:beforeAutospacing="1" w:after="100" w:afterAutospacing="1"/>
      <w:jc w:val="left"/>
    </w:pPr>
    <w:rPr>
      <w:rFonts w:ascii="宋体" w:hAnsi="宋体"/>
      <w:color w:val="000000"/>
      <w:kern w:val="0"/>
      <w:sz w:val="24"/>
    </w:rPr>
  </w:style>
  <w:style w:type="paragraph" w:styleId="50">
    <w:name w:val="List Continue 3"/>
    <w:basedOn w:val="1"/>
    <w:qFormat/>
    <w:uiPriority w:val="0"/>
    <w:pPr>
      <w:spacing w:after="120"/>
      <w:ind w:left="1260"/>
    </w:pPr>
    <w:rPr>
      <w:szCs w:val="20"/>
    </w:rPr>
  </w:style>
  <w:style w:type="paragraph" w:styleId="51">
    <w:name w:val="Title"/>
    <w:basedOn w:val="1"/>
    <w:link w:val="124"/>
    <w:qFormat/>
    <w:uiPriority w:val="0"/>
    <w:pPr>
      <w:spacing w:before="240" w:after="60"/>
      <w:jc w:val="center"/>
      <w:outlineLvl w:val="0"/>
    </w:pPr>
    <w:rPr>
      <w:rFonts w:ascii="Arial" w:hAnsi="Arial" w:eastAsia="黑体" w:cs="Arial"/>
      <w:b/>
      <w:bCs/>
      <w:sz w:val="44"/>
      <w:szCs w:val="32"/>
    </w:rPr>
  </w:style>
  <w:style w:type="paragraph" w:styleId="52">
    <w:name w:val="annotation subject"/>
    <w:basedOn w:val="20"/>
    <w:next w:val="20"/>
    <w:link w:val="229"/>
    <w:semiHidden/>
    <w:unhideWhenUsed/>
    <w:qFormat/>
    <w:uiPriority w:val="99"/>
    <w:rPr>
      <w:rFonts w:ascii="Times New Roman" w:hAnsi="Times New Roman"/>
      <w:b/>
      <w:bCs/>
      <w:szCs w:val="24"/>
    </w:rPr>
  </w:style>
  <w:style w:type="paragraph" w:styleId="53">
    <w:name w:val="Body Text First Indent"/>
    <w:basedOn w:val="1"/>
    <w:link w:val="97"/>
    <w:qFormat/>
    <w:uiPriority w:val="0"/>
    <w:pPr>
      <w:spacing w:line="360" w:lineRule="auto"/>
      <w:ind w:firstLine="200" w:firstLineChars="200"/>
    </w:pPr>
    <w:rPr>
      <w:rFonts w:ascii="仿宋_GB2312" w:eastAsia="仿宋_GB2312"/>
      <w:sz w:val="30"/>
      <w:szCs w:val="30"/>
    </w:rPr>
  </w:style>
  <w:style w:type="paragraph" w:styleId="54">
    <w:name w:val="Body Text First Indent 2"/>
    <w:basedOn w:val="23"/>
    <w:link w:val="104"/>
    <w:qFormat/>
    <w:uiPriority w:val="0"/>
    <w:pPr>
      <w:spacing w:line="360" w:lineRule="auto"/>
      <w:ind w:firstLine="420" w:firstLineChars="200"/>
    </w:pPr>
    <w:rPr>
      <w:rFonts w:ascii="宋体" w:hAnsi="宋体" w:eastAsia="宋体"/>
      <w:sz w:val="21"/>
    </w:rPr>
  </w:style>
  <w:style w:type="table" w:styleId="56">
    <w:name w:val="Table Grid"/>
    <w:basedOn w:val="5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basedOn w:val="57"/>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none"/>
    </w:rPr>
  </w:style>
  <w:style w:type="character" w:styleId="61">
    <w:name w:val="Emphasis"/>
    <w:qFormat/>
    <w:uiPriority w:val="0"/>
    <w:rPr>
      <w:rFonts w:ascii="Arial" w:hAnsi="Arial"/>
      <w:b/>
      <w:spacing w:val="-10"/>
      <w:sz w:val="18"/>
      <w:lang w:eastAsia="zh-CN"/>
    </w:rPr>
  </w:style>
  <w:style w:type="character" w:styleId="62">
    <w:name w:val="Hyperlink"/>
    <w:basedOn w:val="57"/>
    <w:qFormat/>
    <w:uiPriority w:val="99"/>
    <w:rPr>
      <w:color w:val="0000FF"/>
      <w:u w:val="none"/>
    </w:rPr>
  </w:style>
  <w:style w:type="character" w:styleId="63">
    <w:name w:val="annotation reference"/>
    <w:basedOn w:val="57"/>
    <w:semiHidden/>
    <w:unhideWhenUsed/>
    <w:qFormat/>
    <w:uiPriority w:val="99"/>
    <w:rPr>
      <w:sz w:val="21"/>
      <w:szCs w:val="21"/>
    </w:rPr>
  </w:style>
  <w:style w:type="character" w:customStyle="1" w:styleId="64">
    <w:name w:val="标题 1 Char"/>
    <w:basedOn w:val="57"/>
    <w:link w:val="2"/>
    <w:qFormat/>
    <w:uiPriority w:val="0"/>
    <w:rPr>
      <w:rFonts w:ascii="楷体_GB2312" w:hAnsi="Times New Roman" w:eastAsia="楷体_GB2312" w:cs="Times New Roman"/>
      <w:sz w:val="28"/>
      <w:szCs w:val="20"/>
    </w:rPr>
  </w:style>
  <w:style w:type="character" w:customStyle="1" w:styleId="65">
    <w:name w:val="标题 2 Char"/>
    <w:basedOn w:val="57"/>
    <w:link w:val="3"/>
    <w:qFormat/>
    <w:uiPriority w:val="0"/>
    <w:rPr>
      <w:rFonts w:ascii="幼圆" w:hAnsi="Arial" w:eastAsia="楷体_GB2312" w:cs="Times New Roman"/>
      <w:b/>
      <w:sz w:val="24"/>
      <w:szCs w:val="20"/>
    </w:rPr>
  </w:style>
  <w:style w:type="character" w:customStyle="1" w:styleId="66">
    <w:name w:val="标题 3 Char"/>
    <w:basedOn w:val="57"/>
    <w:link w:val="4"/>
    <w:qFormat/>
    <w:uiPriority w:val="0"/>
    <w:rPr>
      <w:rFonts w:ascii="Times New Roman" w:hAnsi="Times New Roman" w:eastAsia="宋体" w:cs="Times New Roman"/>
      <w:b/>
      <w:szCs w:val="20"/>
    </w:rPr>
  </w:style>
  <w:style w:type="character" w:customStyle="1" w:styleId="67">
    <w:name w:val="标题 4 Char"/>
    <w:basedOn w:val="57"/>
    <w:link w:val="5"/>
    <w:qFormat/>
    <w:uiPriority w:val="0"/>
    <w:rPr>
      <w:rFonts w:ascii="Arial" w:hAnsi="Arial" w:eastAsia="黑体" w:cs="Times New Roman"/>
      <w:b/>
      <w:bCs/>
      <w:sz w:val="28"/>
      <w:szCs w:val="28"/>
    </w:rPr>
  </w:style>
  <w:style w:type="character" w:customStyle="1" w:styleId="68">
    <w:name w:val="标题 5 Char"/>
    <w:basedOn w:val="57"/>
    <w:link w:val="6"/>
    <w:qFormat/>
    <w:uiPriority w:val="0"/>
    <w:rPr>
      <w:rFonts w:ascii="宋体"/>
      <w:b/>
      <w:spacing w:val="-2"/>
      <w:kern w:val="2"/>
      <w:position w:val="-6"/>
      <w:sz w:val="28"/>
    </w:rPr>
  </w:style>
  <w:style w:type="character" w:customStyle="1" w:styleId="69">
    <w:name w:val="标题 6 Char"/>
    <w:basedOn w:val="57"/>
    <w:link w:val="8"/>
    <w:qFormat/>
    <w:uiPriority w:val="0"/>
    <w:rPr>
      <w:rFonts w:ascii="Arial" w:hAnsi="Arial" w:eastAsia="黑体"/>
      <w:b/>
      <w:spacing w:val="-2"/>
      <w:kern w:val="2"/>
      <w:position w:val="-6"/>
      <w:sz w:val="24"/>
    </w:rPr>
  </w:style>
  <w:style w:type="character" w:customStyle="1" w:styleId="70">
    <w:name w:val="标题 7 Char"/>
    <w:basedOn w:val="57"/>
    <w:link w:val="9"/>
    <w:qFormat/>
    <w:uiPriority w:val="0"/>
    <w:rPr>
      <w:rFonts w:ascii="宋体"/>
      <w:b/>
      <w:spacing w:val="-2"/>
      <w:kern w:val="2"/>
      <w:position w:val="-6"/>
      <w:sz w:val="24"/>
    </w:rPr>
  </w:style>
  <w:style w:type="character" w:customStyle="1" w:styleId="71">
    <w:name w:val="标题 8 Char"/>
    <w:basedOn w:val="57"/>
    <w:link w:val="10"/>
    <w:qFormat/>
    <w:uiPriority w:val="0"/>
    <w:rPr>
      <w:rFonts w:ascii="Arial" w:hAnsi="Arial" w:eastAsia="黑体"/>
      <w:spacing w:val="-2"/>
      <w:kern w:val="2"/>
      <w:position w:val="-6"/>
      <w:sz w:val="24"/>
    </w:rPr>
  </w:style>
  <w:style w:type="character" w:customStyle="1" w:styleId="72">
    <w:name w:val="标题 9 Char"/>
    <w:basedOn w:val="57"/>
    <w:link w:val="11"/>
    <w:qFormat/>
    <w:uiPriority w:val="0"/>
    <w:rPr>
      <w:rFonts w:ascii="Arial" w:hAnsi="Arial" w:eastAsia="黑体"/>
      <w:spacing w:val="-2"/>
      <w:kern w:val="2"/>
      <w:position w:val="-6"/>
      <w:sz w:val="28"/>
    </w:rPr>
  </w:style>
  <w:style w:type="character" w:customStyle="1" w:styleId="73">
    <w:name w:val="正文缩进 Char"/>
    <w:basedOn w:val="57"/>
    <w:link w:val="7"/>
    <w:qFormat/>
    <w:uiPriority w:val="0"/>
    <w:rPr>
      <w:rFonts w:ascii="Times New Roman" w:hAnsi="Times New Roman" w:eastAsia="宋体" w:cs="Times New Roman"/>
      <w:szCs w:val="20"/>
    </w:rPr>
  </w:style>
  <w:style w:type="paragraph" w:customStyle="1" w:styleId="74">
    <w:name w:val="Char"/>
    <w:basedOn w:val="1"/>
    <w:qFormat/>
    <w:uiPriority w:val="0"/>
    <w:pPr>
      <w:tabs>
        <w:tab w:val="left" w:pos="360"/>
      </w:tabs>
    </w:pPr>
    <w:rPr>
      <w:sz w:val="24"/>
    </w:rPr>
  </w:style>
  <w:style w:type="character" w:customStyle="1" w:styleId="75">
    <w:name w:val="正文文本缩进 2 Char"/>
    <w:basedOn w:val="57"/>
    <w:link w:val="33"/>
    <w:qFormat/>
    <w:uiPriority w:val="0"/>
    <w:rPr>
      <w:rFonts w:ascii="楷体_GB2312" w:hAnsi="Times New Roman" w:eastAsia="楷体_GB2312" w:cs="Times New Roman"/>
      <w:sz w:val="28"/>
      <w:szCs w:val="28"/>
    </w:rPr>
  </w:style>
  <w:style w:type="character" w:customStyle="1" w:styleId="76">
    <w:name w:val="正文文本 3 Char"/>
    <w:basedOn w:val="57"/>
    <w:link w:val="21"/>
    <w:qFormat/>
    <w:uiPriority w:val="0"/>
    <w:rPr>
      <w:rFonts w:ascii="仿宋_GB2312" w:hAnsi="Arial" w:eastAsia="仿宋_GB2312" w:cs="Times New Roman"/>
      <w:sz w:val="32"/>
      <w:szCs w:val="20"/>
    </w:rPr>
  </w:style>
  <w:style w:type="character" w:customStyle="1" w:styleId="77">
    <w:name w:val="正文文本 Char"/>
    <w:basedOn w:val="57"/>
    <w:link w:val="22"/>
    <w:qFormat/>
    <w:uiPriority w:val="0"/>
    <w:rPr>
      <w:rFonts w:ascii="楷体_GB2312" w:hAnsi="Arial" w:eastAsia="楷体_GB2312" w:cs="Times New Roman"/>
      <w:sz w:val="28"/>
      <w:szCs w:val="20"/>
    </w:rPr>
  </w:style>
  <w:style w:type="character" w:customStyle="1" w:styleId="78">
    <w:name w:val="正文文本缩进 Char"/>
    <w:basedOn w:val="57"/>
    <w:link w:val="23"/>
    <w:qFormat/>
    <w:uiPriority w:val="99"/>
    <w:rPr>
      <w:rFonts w:ascii="楷体_GB2312" w:hAnsi="Times New Roman" w:eastAsia="楷体_GB2312" w:cs="Times New Roman"/>
      <w:sz w:val="32"/>
      <w:szCs w:val="20"/>
    </w:rPr>
  </w:style>
  <w:style w:type="character" w:customStyle="1" w:styleId="79">
    <w:name w:val="正文文本缩进 3 Char"/>
    <w:basedOn w:val="57"/>
    <w:link w:val="41"/>
    <w:qFormat/>
    <w:uiPriority w:val="99"/>
    <w:rPr>
      <w:rFonts w:ascii="方正行楷简体" w:hAnsi="Arial" w:eastAsia="方正行楷简体" w:cs="Times New Roman"/>
      <w:sz w:val="36"/>
      <w:szCs w:val="20"/>
    </w:rPr>
  </w:style>
  <w:style w:type="character" w:customStyle="1" w:styleId="80">
    <w:name w:val="页脚 Char"/>
    <w:basedOn w:val="57"/>
    <w:link w:val="35"/>
    <w:qFormat/>
    <w:uiPriority w:val="99"/>
    <w:rPr>
      <w:rFonts w:ascii="Times New Roman" w:hAnsi="Times New Roman" w:eastAsia="宋体" w:cs="Times New Roman"/>
      <w:sz w:val="18"/>
      <w:szCs w:val="20"/>
    </w:rPr>
  </w:style>
  <w:style w:type="character" w:customStyle="1" w:styleId="81">
    <w:name w:val="页眉 Char"/>
    <w:basedOn w:val="57"/>
    <w:link w:val="36"/>
    <w:qFormat/>
    <w:uiPriority w:val="0"/>
    <w:rPr>
      <w:rFonts w:ascii="Times New Roman" w:hAnsi="Times New Roman" w:eastAsia="宋体" w:cs="Times New Roman"/>
      <w:sz w:val="18"/>
      <w:szCs w:val="18"/>
    </w:rPr>
  </w:style>
  <w:style w:type="character" w:customStyle="1" w:styleId="82">
    <w:name w:val="日期 Char"/>
    <w:basedOn w:val="57"/>
    <w:link w:val="32"/>
    <w:qFormat/>
    <w:uiPriority w:val="0"/>
    <w:rPr>
      <w:rFonts w:ascii="仿宋_GB2312" w:hAnsi="Times New Roman" w:eastAsia="仿宋_GB2312" w:cs="Times New Roman"/>
      <w:b/>
      <w:sz w:val="36"/>
      <w:szCs w:val="24"/>
    </w:rPr>
  </w:style>
  <w:style w:type="paragraph" w:customStyle="1" w:styleId="83">
    <w:name w:val="标题3"/>
    <w:basedOn w:val="4"/>
    <w:qFormat/>
    <w:uiPriority w:val="0"/>
    <w:pPr>
      <w:keepNext w:val="0"/>
      <w:keepLines w:val="0"/>
      <w:spacing w:before="0" w:after="0" w:line="360" w:lineRule="auto"/>
    </w:pPr>
    <w:rPr>
      <w:rFonts w:eastAsia="仿宋_GB2312"/>
      <w:b w:val="0"/>
      <w:bCs/>
      <w:sz w:val="30"/>
      <w:szCs w:val="32"/>
    </w:rPr>
  </w:style>
  <w:style w:type="character" w:customStyle="1" w:styleId="84">
    <w:name w:val="纯文本 Char"/>
    <w:basedOn w:val="57"/>
    <w:link w:val="30"/>
    <w:qFormat/>
    <w:uiPriority w:val="0"/>
    <w:rPr>
      <w:rFonts w:ascii="宋体" w:hAnsi="Courier New" w:eastAsia="宋体" w:cs="Times New Roman"/>
      <w:szCs w:val="20"/>
    </w:rPr>
  </w:style>
  <w:style w:type="character" w:customStyle="1" w:styleId="85">
    <w:name w:val="正文文本 2 Char"/>
    <w:basedOn w:val="57"/>
    <w:link w:val="44"/>
    <w:qFormat/>
    <w:uiPriority w:val="0"/>
    <w:rPr>
      <w:rFonts w:ascii="Times New Roman" w:hAnsi="Times New Roman" w:eastAsia="宋体" w:cs="Times New Roman"/>
      <w:szCs w:val="24"/>
    </w:rPr>
  </w:style>
  <w:style w:type="paragraph" w:customStyle="1" w:styleId="86">
    <w:name w:val="纯文本1"/>
    <w:basedOn w:val="1"/>
    <w:qFormat/>
    <w:uiPriority w:val="0"/>
    <w:pPr>
      <w:adjustRightInd w:val="0"/>
      <w:textAlignment w:val="baseline"/>
    </w:pPr>
    <w:rPr>
      <w:rFonts w:ascii="宋体" w:hAnsi="Courier New" w:eastAsia="楷体_GB2312"/>
      <w:sz w:val="28"/>
      <w:szCs w:val="20"/>
    </w:rPr>
  </w:style>
  <w:style w:type="paragraph" w:customStyle="1" w:styleId="87">
    <w:name w:val="Char1"/>
    <w:basedOn w:val="1"/>
    <w:qFormat/>
    <w:uiPriority w:val="0"/>
    <w:pPr>
      <w:tabs>
        <w:tab w:val="left" w:pos="840"/>
      </w:tabs>
      <w:ind w:left="840" w:hanging="420"/>
    </w:pPr>
    <w:rPr>
      <w:sz w:val="24"/>
    </w:rPr>
  </w:style>
  <w:style w:type="character" w:customStyle="1" w:styleId="88">
    <w:name w:val="文档结构图 Char"/>
    <w:basedOn w:val="57"/>
    <w:link w:val="18"/>
    <w:qFormat/>
    <w:uiPriority w:val="0"/>
    <w:rPr>
      <w:rFonts w:ascii="宋体" w:hAnsi="Times New Roman" w:eastAsia="宋体" w:cs="Times New Roman"/>
      <w:sz w:val="18"/>
      <w:szCs w:val="18"/>
    </w:rPr>
  </w:style>
  <w:style w:type="character" w:customStyle="1" w:styleId="89">
    <w:name w:val="批注框文本 Char"/>
    <w:basedOn w:val="57"/>
    <w:link w:val="34"/>
    <w:qFormat/>
    <w:uiPriority w:val="0"/>
    <w:rPr>
      <w:rFonts w:ascii="Times New Roman" w:hAnsi="Times New Roman" w:eastAsia="宋体" w:cs="Times New Roman"/>
      <w:sz w:val="18"/>
      <w:szCs w:val="18"/>
    </w:rPr>
  </w:style>
  <w:style w:type="paragraph" w:customStyle="1" w:styleId="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01-标书-标题1"/>
    <w:next w:val="1"/>
    <w:qFormat/>
    <w:uiPriority w:val="0"/>
    <w:pPr>
      <w:numPr>
        <w:ilvl w:val="0"/>
        <w:numId w:val="3"/>
      </w:numPr>
      <w:spacing w:line="360" w:lineRule="auto"/>
      <w:outlineLvl w:val="0"/>
    </w:pPr>
    <w:rPr>
      <w:rFonts w:ascii="黑体" w:hAnsi="宋体" w:eastAsia="黑体" w:cs="Times New Roman"/>
      <w:kern w:val="2"/>
      <w:sz w:val="44"/>
      <w:szCs w:val="32"/>
      <w:lang w:val="en-US" w:eastAsia="zh-CN" w:bidi="ar-SA"/>
    </w:rPr>
  </w:style>
  <w:style w:type="paragraph" w:customStyle="1" w:styleId="92">
    <w:name w:val="02-标书-标题2"/>
    <w:qFormat/>
    <w:uiPriority w:val="0"/>
    <w:pPr>
      <w:numPr>
        <w:ilvl w:val="1"/>
        <w:numId w:val="3"/>
      </w:numPr>
      <w:spacing w:line="360" w:lineRule="auto"/>
      <w:outlineLvl w:val="1"/>
    </w:pPr>
    <w:rPr>
      <w:rFonts w:ascii="黑体" w:hAnsi="宋体" w:eastAsia="黑体" w:cs="Times New Roman"/>
      <w:kern w:val="2"/>
      <w:sz w:val="32"/>
      <w:szCs w:val="28"/>
      <w:lang w:val="en-US" w:eastAsia="zh-CN" w:bidi="ar-SA"/>
    </w:rPr>
  </w:style>
  <w:style w:type="paragraph" w:customStyle="1" w:styleId="93">
    <w:name w:val="03-标书-标题3"/>
    <w:qFormat/>
    <w:uiPriority w:val="0"/>
    <w:pPr>
      <w:numPr>
        <w:ilvl w:val="2"/>
        <w:numId w:val="3"/>
      </w:numPr>
      <w:spacing w:line="360" w:lineRule="auto"/>
      <w:outlineLvl w:val="2"/>
    </w:pPr>
    <w:rPr>
      <w:rFonts w:ascii="黑体" w:hAnsi="宋体" w:eastAsia="黑体" w:cs="Times New Roman"/>
      <w:kern w:val="2"/>
      <w:sz w:val="28"/>
      <w:szCs w:val="24"/>
      <w:lang w:val="en-US" w:eastAsia="zh-CN" w:bidi="ar-SA"/>
    </w:rPr>
  </w:style>
  <w:style w:type="paragraph" w:customStyle="1" w:styleId="94">
    <w:name w:val="04-标书-标题4"/>
    <w:basedOn w:val="1"/>
    <w:qFormat/>
    <w:uiPriority w:val="0"/>
    <w:pPr>
      <w:widowControl/>
      <w:numPr>
        <w:ilvl w:val="3"/>
        <w:numId w:val="3"/>
      </w:numPr>
      <w:tabs>
        <w:tab w:val="left" w:pos="360"/>
      </w:tabs>
      <w:spacing w:line="360" w:lineRule="auto"/>
      <w:ind w:firstLine="480"/>
    </w:pPr>
    <w:rPr>
      <w:rFonts w:ascii="宋体" w:hAnsi="宋体" w:eastAsia="黑体"/>
      <w:color w:val="000000"/>
      <w:sz w:val="24"/>
      <w:szCs w:val="21"/>
    </w:rPr>
  </w:style>
  <w:style w:type="paragraph" w:customStyle="1" w:styleId="95">
    <w:name w:val="列出段落1"/>
    <w:basedOn w:val="1"/>
    <w:qFormat/>
    <w:uiPriority w:val="0"/>
    <w:pPr>
      <w:ind w:firstLine="420" w:firstLineChars="200"/>
    </w:pPr>
  </w:style>
  <w:style w:type="character" w:customStyle="1" w:styleId="96">
    <w:name w:val="htd0"/>
    <w:basedOn w:val="57"/>
    <w:qFormat/>
    <w:uiPriority w:val="0"/>
  </w:style>
  <w:style w:type="character" w:customStyle="1" w:styleId="97">
    <w:name w:val="正文首行缩进 Char"/>
    <w:basedOn w:val="77"/>
    <w:link w:val="53"/>
    <w:qFormat/>
    <w:uiPriority w:val="0"/>
    <w:rPr>
      <w:rFonts w:ascii="仿宋_GB2312" w:hAnsi="Times New Roman" w:eastAsia="仿宋_GB2312"/>
      <w:sz w:val="30"/>
      <w:szCs w:val="30"/>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0">
    <w:name w:val="附录1"/>
    <w:qFormat/>
    <w:uiPriority w:val="0"/>
    <w:pPr>
      <w:numPr>
        <w:ilvl w:val="0"/>
        <w:numId w:val="4"/>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01">
    <w:name w:val="4"/>
    <w:basedOn w:val="1"/>
    <w:next w:val="41"/>
    <w:qFormat/>
    <w:uiPriority w:val="0"/>
    <w:pPr>
      <w:spacing w:line="360" w:lineRule="auto"/>
      <w:ind w:firstLine="420"/>
    </w:pPr>
    <w:rPr>
      <w:color w:val="FF0000"/>
      <w:sz w:val="24"/>
    </w:rPr>
  </w:style>
  <w:style w:type="paragraph" w:customStyle="1" w:styleId="102">
    <w:name w:val="样式1"/>
    <w:basedOn w:val="1"/>
    <w:qFormat/>
    <w:uiPriority w:val="0"/>
    <w:pPr>
      <w:numPr>
        <w:ilvl w:val="0"/>
        <w:numId w:val="5"/>
      </w:numPr>
      <w:adjustRightInd w:val="0"/>
      <w:textAlignment w:val="baseline"/>
    </w:pPr>
    <w:rPr>
      <w:rFonts w:ascii="宋体" w:hAnsi="宋体"/>
      <w:kern w:val="0"/>
      <w:szCs w:val="21"/>
    </w:rPr>
  </w:style>
  <w:style w:type="paragraph" w:customStyle="1" w:styleId="1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04">
    <w:name w:val="正文首行缩进 2 Char"/>
    <w:basedOn w:val="78"/>
    <w:link w:val="54"/>
    <w:qFormat/>
    <w:uiPriority w:val="0"/>
    <w:rPr>
      <w:rFonts w:ascii="宋体" w:hAnsi="宋体" w:eastAsia="宋体"/>
    </w:rPr>
  </w:style>
  <w:style w:type="paragraph" w:customStyle="1" w:styleId="10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6">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7">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8">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9">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14">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1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6">
    <w:name w:val="table_1stline"/>
    <w:basedOn w:val="1"/>
    <w:qFormat/>
    <w:uiPriority w:val="0"/>
    <w:pPr>
      <w:widowControl/>
      <w:spacing w:before="120"/>
      <w:jc w:val="left"/>
    </w:pPr>
    <w:rPr>
      <w:bCs/>
      <w:kern w:val="0"/>
      <w:sz w:val="20"/>
      <w:szCs w:val="20"/>
      <w:lang w:val="de-DE" w:eastAsia="de-DE"/>
    </w:rPr>
  </w:style>
  <w:style w:type="paragraph" w:customStyle="1" w:styleId="117">
    <w:name w:val="table_lines"/>
    <w:basedOn w:val="1"/>
    <w:qFormat/>
    <w:uiPriority w:val="0"/>
    <w:pPr>
      <w:widowControl/>
      <w:jc w:val="left"/>
    </w:pPr>
    <w:rPr>
      <w:kern w:val="0"/>
      <w:sz w:val="20"/>
      <w:szCs w:val="20"/>
      <w:lang w:val="de-DE" w:eastAsia="de-DE"/>
    </w:rPr>
  </w:style>
  <w:style w:type="character" w:customStyle="1" w:styleId="118">
    <w:name w:val="font5 Char"/>
    <w:basedOn w:val="57"/>
    <w:qFormat/>
    <w:uiPriority w:val="0"/>
    <w:rPr>
      <w:rFonts w:ascii="宋体" w:hAnsi="宋体" w:eastAsia="宋体"/>
      <w:sz w:val="28"/>
      <w:szCs w:val="28"/>
      <w:lang w:val="en-US" w:eastAsia="zh-CN" w:bidi="ar-SA"/>
    </w:rPr>
  </w:style>
  <w:style w:type="paragraph" w:customStyle="1" w:styleId="119">
    <w:name w:val="Char Char Char Char"/>
    <w:basedOn w:val="18"/>
    <w:qFormat/>
    <w:uiPriority w:val="0"/>
    <w:pPr>
      <w:shd w:val="clear" w:color="auto" w:fill="000080"/>
      <w:adjustRightInd w:val="0"/>
      <w:snapToGrid w:val="0"/>
      <w:spacing w:line="360" w:lineRule="auto"/>
    </w:pPr>
    <w:rPr>
      <w:rFonts w:ascii="Tahoma" w:hAnsi="Tahoma"/>
      <w:sz w:val="24"/>
      <w:szCs w:val="24"/>
    </w:rPr>
  </w:style>
  <w:style w:type="paragraph" w:customStyle="1" w:styleId="12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21">
    <w:name w:val="纯文本 Char1"/>
    <w:basedOn w:val="57"/>
    <w:qFormat/>
    <w:uiPriority w:val="0"/>
    <w:rPr>
      <w:rFonts w:ascii="宋体" w:hAnsi="Courier New" w:eastAsia="宋体" w:cs="Courier New"/>
      <w:kern w:val="2"/>
      <w:sz w:val="21"/>
      <w:szCs w:val="21"/>
      <w:lang w:val="en-US" w:eastAsia="zh-CN" w:bidi="ar-SA"/>
    </w:rPr>
  </w:style>
  <w:style w:type="paragraph" w:customStyle="1" w:styleId="122">
    <w:name w:val="Char Char Char Char Char Char Char Char Char Char"/>
    <w:basedOn w:val="1"/>
    <w:qFormat/>
    <w:uiPriority w:val="0"/>
    <w:pPr>
      <w:adjustRightInd w:val="0"/>
      <w:spacing w:line="360" w:lineRule="auto"/>
    </w:pPr>
    <w:rPr>
      <w:kern w:val="0"/>
      <w:sz w:val="24"/>
      <w:szCs w:val="20"/>
    </w:rPr>
  </w:style>
  <w:style w:type="paragraph" w:customStyle="1" w:styleId="123">
    <w:name w:val="Char Char Char Char Char Char Char Char Char Char Char Char Char Char Char Char Char Char"/>
    <w:basedOn w:val="1"/>
    <w:qFormat/>
    <w:uiPriority w:val="0"/>
    <w:pPr>
      <w:spacing w:beforeLines="50" w:afterLines="100" w:line="480" w:lineRule="exact"/>
      <w:jc w:val="center"/>
    </w:pPr>
    <w:rPr>
      <w:color w:val="000000"/>
      <w:sz w:val="28"/>
      <w:szCs w:val="52"/>
    </w:rPr>
  </w:style>
  <w:style w:type="character" w:customStyle="1" w:styleId="124">
    <w:name w:val="标题 Char"/>
    <w:basedOn w:val="57"/>
    <w:link w:val="51"/>
    <w:qFormat/>
    <w:uiPriority w:val="0"/>
    <w:rPr>
      <w:rFonts w:ascii="Arial" w:hAnsi="Arial" w:eastAsia="黑体" w:cs="Arial"/>
      <w:b/>
      <w:bCs/>
      <w:sz w:val="44"/>
      <w:szCs w:val="32"/>
    </w:rPr>
  </w:style>
  <w:style w:type="paragraph" w:customStyle="1" w:styleId="125">
    <w:name w:val="Char Char Char Char Char Char Char Char Char"/>
    <w:basedOn w:val="1"/>
    <w:qFormat/>
    <w:uiPriority w:val="0"/>
    <w:pPr>
      <w:snapToGrid w:val="0"/>
    </w:pPr>
    <w:rPr>
      <w:rFonts w:ascii="Tahoma" w:hAnsi="Tahoma"/>
      <w:sz w:val="24"/>
      <w:szCs w:val="20"/>
    </w:rPr>
  </w:style>
  <w:style w:type="paragraph" w:customStyle="1" w:styleId="126">
    <w:name w:val="1 Char Char Char Char Char Char Char"/>
    <w:basedOn w:val="1"/>
    <w:qFormat/>
    <w:uiPriority w:val="0"/>
    <w:pPr>
      <w:spacing w:line="360" w:lineRule="auto"/>
    </w:pPr>
    <w:rPr>
      <w:rFonts w:ascii="仿宋_GB2312" w:hAnsi="Tahoma" w:eastAsia="仿宋_GB2312"/>
      <w:szCs w:val="21"/>
    </w:rPr>
  </w:style>
  <w:style w:type="paragraph" w:customStyle="1" w:styleId="127">
    <w:name w:val="正文蓝"/>
    <w:basedOn w:val="7"/>
    <w:qFormat/>
    <w:uiPriority w:val="0"/>
    <w:pPr>
      <w:spacing w:line="288" w:lineRule="auto"/>
      <w:ind w:firstLine="482"/>
    </w:pPr>
    <w:rPr>
      <w:rFonts w:ascii="仿宋_GB2312" w:eastAsia="仿宋_GB2312"/>
      <w:bCs/>
      <w:color w:val="0000FF"/>
      <w:kern w:val="24"/>
      <w:sz w:val="24"/>
    </w:rPr>
  </w:style>
  <w:style w:type="paragraph" w:customStyle="1" w:styleId="12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Char1 Char Char Char"/>
    <w:basedOn w:val="1"/>
    <w:qFormat/>
    <w:uiPriority w:val="0"/>
    <w:rPr>
      <w:rFonts w:ascii="Tahoma" w:hAnsi="Tahoma"/>
      <w:sz w:val="24"/>
      <w:szCs w:val="20"/>
    </w:rPr>
  </w:style>
  <w:style w:type="paragraph" w:customStyle="1" w:styleId="13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31">
    <w:name w:val="Char Char1"/>
    <w:basedOn w:val="1"/>
    <w:qFormat/>
    <w:uiPriority w:val="0"/>
    <w:rPr>
      <w:rFonts w:ascii="仿宋_GB2312" w:eastAsia="仿宋_GB2312"/>
      <w:b/>
      <w:sz w:val="32"/>
      <w:szCs w:val="32"/>
    </w:rPr>
  </w:style>
  <w:style w:type="character" w:customStyle="1" w:styleId="132">
    <w:name w:val="text1"/>
    <w:basedOn w:val="57"/>
    <w:qFormat/>
    <w:uiPriority w:val="0"/>
    <w:rPr>
      <w:spacing w:val="375"/>
      <w:sz w:val="21"/>
      <w:szCs w:val="21"/>
    </w:rPr>
  </w:style>
  <w:style w:type="paragraph" w:customStyle="1" w:styleId="133">
    <w:name w:val="表格文字"/>
    <w:basedOn w:val="1"/>
    <w:qFormat/>
    <w:uiPriority w:val="0"/>
    <w:pPr>
      <w:snapToGrid w:val="0"/>
      <w:spacing w:before="120"/>
    </w:pPr>
    <w:rPr>
      <w:szCs w:val="20"/>
    </w:rPr>
  </w:style>
  <w:style w:type="paragraph" w:customStyle="1" w:styleId="134">
    <w:name w:val="标题2"/>
    <w:basedOn w:val="3"/>
    <w:qFormat/>
    <w:uiPriority w:val="0"/>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135">
    <w:name w:val="标题5"/>
    <w:basedOn w:val="6"/>
    <w:qFormat/>
    <w:uiPriority w:val="0"/>
    <w:pPr>
      <w:keepNext w:val="0"/>
      <w:keepLines w:val="0"/>
      <w:numPr>
        <w:ilvl w:val="0"/>
        <w:numId w:val="0"/>
      </w:numPr>
      <w:tabs>
        <w:tab w:val="left" w:pos="0"/>
      </w:tabs>
      <w:spacing w:before="0" w:after="0" w:line="360" w:lineRule="auto"/>
    </w:pPr>
    <w:rPr>
      <w:rFonts w:ascii="Times New Roman" w:eastAsia="仿宋_GB2312"/>
      <w:b w:val="0"/>
      <w:bCs/>
      <w:spacing w:val="0"/>
      <w:position w:val="0"/>
      <w:sz w:val="30"/>
      <w:szCs w:val="30"/>
    </w:rPr>
  </w:style>
  <w:style w:type="paragraph" w:customStyle="1" w:styleId="136">
    <w:name w:val="标题6"/>
    <w:basedOn w:val="8"/>
    <w:qFormat/>
    <w:uiPriority w:val="0"/>
    <w:pPr>
      <w:keepNext w:val="0"/>
      <w:keepLines w:val="0"/>
      <w:numPr>
        <w:ilvl w:val="0"/>
        <w:numId w:val="0"/>
      </w:numPr>
      <w:tabs>
        <w:tab w:val="left" w:pos="0"/>
      </w:tabs>
      <w:spacing w:before="0" w:after="0" w:line="360" w:lineRule="auto"/>
    </w:pPr>
    <w:rPr>
      <w:rFonts w:eastAsia="仿宋_GB2312"/>
      <w:b w:val="0"/>
      <w:bCs/>
      <w:spacing w:val="0"/>
      <w:position w:val="0"/>
      <w:sz w:val="30"/>
      <w:szCs w:val="24"/>
    </w:rPr>
  </w:style>
  <w:style w:type="paragraph" w:customStyle="1" w:styleId="137">
    <w:name w:val="标题8"/>
    <w:basedOn w:val="10"/>
    <w:qFormat/>
    <w:uiPriority w:val="0"/>
    <w:pPr>
      <w:keepNext w:val="0"/>
      <w:keepLines w:val="0"/>
      <w:numPr>
        <w:ilvl w:val="0"/>
        <w:numId w:val="0"/>
      </w:numPr>
      <w:tabs>
        <w:tab w:val="left" w:pos="0"/>
      </w:tabs>
      <w:spacing w:before="0" w:after="0" w:line="360" w:lineRule="auto"/>
    </w:pPr>
    <w:rPr>
      <w:rFonts w:eastAsia="仿宋_GB2312"/>
      <w:spacing w:val="0"/>
      <w:position w:val="0"/>
      <w:sz w:val="30"/>
      <w:szCs w:val="24"/>
    </w:rPr>
  </w:style>
  <w:style w:type="paragraph" w:customStyle="1" w:styleId="138">
    <w:name w:val="标题9"/>
    <w:basedOn w:val="11"/>
    <w:qFormat/>
    <w:uiPriority w:val="0"/>
    <w:pPr>
      <w:keepNext w:val="0"/>
      <w:keepLines w:val="0"/>
      <w:numPr>
        <w:ilvl w:val="7"/>
        <w:numId w:val="0"/>
      </w:numPr>
      <w:tabs>
        <w:tab w:val="left" w:pos="0"/>
      </w:tabs>
      <w:spacing w:before="0" w:after="0" w:line="360" w:lineRule="auto"/>
    </w:pPr>
    <w:rPr>
      <w:rFonts w:eastAsia="仿宋_GB2312"/>
      <w:spacing w:val="0"/>
      <w:position w:val="0"/>
      <w:sz w:val="30"/>
      <w:szCs w:val="21"/>
    </w:rPr>
  </w:style>
  <w:style w:type="paragraph" w:customStyle="1" w:styleId="139">
    <w:name w:val="样式 样式 标题1 + 行距: 单倍行距 + 段前: 7.8 磅 段后: 7.8 磅"/>
    <w:basedOn w:val="1"/>
    <w:qFormat/>
    <w:uiPriority w:val="0"/>
    <w:pPr>
      <w:keepNext/>
      <w:keepLines/>
      <w:tabs>
        <w:tab w:val="left" w:pos="0"/>
      </w:tabs>
      <w:spacing w:before="156" w:after="156" w:line="360" w:lineRule="auto"/>
      <w:ind w:firstLine="288"/>
      <w:jc w:val="center"/>
      <w:outlineLvl w:val="0"/>
    </w:pPr>
    <w:rPr>
      <w:rFonts w:ascii="Arial" w:hAnsi="Arial" w:eastAsia="仿宋_GB2312"/>
      <w:kern w:val="44"/>
      <w:sz w:val="30"/>
      <w:szCs w:val="20"/>
    </w:rPr>
  </w:style>
  <w:style w:type="paragraph" w:customStyle="1" w:styleId="140">
    <w:name w:val="默认段落字体 Para Char Char Char Char"/>
    <w:basedOn w:val="1"/>
    <w:qFormat/>
    <w:uiPriority w:val="0"/>
    <w:rPr>
      <w:rFonts w:ascii="Arial" w:hAnsi="Arial"/>
      <w:snapToGrid w:val="0"/>
      <w:szCs w:val="21"/>
    </w:rPr>
  </w:style>
  <w:style w:type="paragraph" w:customStyle="1" w:styleId="141">
    <w:name w:val="Char Char1 Char Char Char Char Char Char Char"/>
    <w:basedOn w:val="1"/>
    <w:qFormat/>
    <w:uiPriority w:val="0"/>
    <w:rPr>
      <w:rFonts w:ascii="Tahoma" w:hAnsi="Tahoma"/>
      <w:sz w:val="24"/>
    </w:rPr>
  </w:style>
  <w:style w:type="paragraph" w:customStyle="1" w:styleId="142">
    <w:name w:val="项目符号1 Char"/>
    <w:basedOn w:val="1"/>
    <w:qFormat/>
    <w:uiPriority w:val="0"/>
    <w:pPr>
      <w:tabs>
        <w:tab w:val="left" w:pos="420"/>
      </w:tabs>
      <w:spacing w:line="360" w:lineRule="auto"/>
      <w:ind w:left="420" w:firstLine="200" w:firstLineChars="200"/>
      <w:jc w:val="left"/>
    </w:pPr>
    <w:rPr>
      <w:sz w:val="24"/>
    </w:rPr>
  </w:style>
  <w:style w:type="character" w:customStyle="1" w:styleId="143">
    <w:name w:val="HTML 预设格式 Char"/>
    <w:basedOn w:val="57"/>
    <w:link w:val="48"/>
    <w:qFormat/>
    <w:uiPriority w:val="0"/>
    <w:rPr>
      <w:rFonts w:ascii="黑体" w:hAnsi="Courier New" w:eastAsia="黑体" w:cs="Courier New"/>
      <w:kern w:val="0"/>
      <w:sz w:val="20"/>
      <w:szCs w:val="20"/>
    </w:rPr>
  </w:style>
  <w:style w:type="paragraph" w:customStyle="1" w:styleId="144">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5">
    <w:name w:val="Javis"/>
    <w:basedOn w:val="1"/>
    <w:qFormat/>
    <w:uiPriority w:val="0"/>
    <w:pPr>
      <w:ind w:right="210" w:rightChars="100"/>
    </w:pPr>
    <w:rPr>
      <w:rFonts w:cs="宋体"/>
      <w:sz w:val="24"/>
      <w:szCs w:val="20"/>
    </w:rPr>
  </w:style>
  <w:style w:type="character" w:customStyle="1" w:styleId="146">
    <w:name w:val="style331"/>
    <w:basedOn w:val="57"/>
    <w:qFormat/>
    <w:uiPriority w:val="0"/>
    <w:rPr>
      <w:color w:val="9900FF"/>
      <w:sz w:val="18"/>
      <w:szCs w:val="18"/>
    </w:rPr>
  </w:style>
  <w:style w:type="character" w:customStyle="1" w:styleId="147">
    <w:name w:val="font"/>
    <w:basedOn w:val="57"/>
    <w:qFormat/>
    <w:uiPriority w:val="0"/>
  </w:style>
  <w:style w:type="character" w:customStyle="1" w:styleId="148">
    <w:name w:val="信息标题 Char"/>
    <w:basedOn w:val="57"/>
    <w:link w:val="47"/>
    <w:qFormat/>
    <w:uiPriority w:val="0"/>
    <w:rPr>
      <w:rFonts w:ascii="Garamond" w:hAnsi="Garamond" w:eastAsia="宋体" w:cs="Times New Roman"/>
      <w:kern w:val="0"/>
      <w:sz w:val="18"/>
      <w:szCs w:val="20"/>
      <w:lang w:bidi="he-IL"/>
    </w:rPr>
  </w:style>
  <w:style w:type="paragraph" w:customStyle="1" w:styleId="149">
    <w:name w:val="附录1层"/>
    <w:basedOn w:val="1"/>
    <w:next w:val="1"/>
    <w:qFormat/>
    <w:uiPriority w:val="0"/>
    <w:pPr>
      <w:spacing w:line="440" w:lineRule="exact"/>
      <w:jc w:val="center"/>
    </w:pPr>
    <w:rPr>
      <w:rFonts w:ascii="黑体" w:eastAsia="黑体"/>
      <w:sz w:val="24"/>
      <w:szCs w:val="20"/>
    </w:rPr>
  </w:style>
  <w:style w:type="paragraph" w:customStyle="1" w:styleId="150">
    <w:name w:val="样式2"/>
    <w:basedOn w:val="4"/>
    <w:qFormat/>
    <w:uiPriority w:val="0"/>
    <w:rPr>
      <w:bCs/>
      <w:sz w:val="24"/>
      <w:szCs w:val="32"/>
    </w:rPr>
  </w:style>
  <w:style w:type="paragraph" w:customStyle="1" w:styleId="151">
    <w:name w:val="复选框1"/>
    <w:basedOn w:val="1"/>
    <w:qFormat/>
    <w:uiPriority w:val="0"/>
    <w:pPr>
      <w:widowControl/>
      <w:spacing w:before="360" w:after="360"/>
      <w:jc w:val="left"/>
    </w:pPr>
    <w:rPr>
      <w:kern w:val="0"/>
      <w:sz w:val="20"/>
      <w:szCs w:val="20"/>
    </w:rPr>
  </w:style>
  <w:style w:type="paragraph" w:customStyle="1" w:styleId="152">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153">
    <w:name w:val="回信地址"/>
    <w:basedOn w:val="1"/>
    <w:qFormat/>
    <w:uiPriority w:val="0"/>
    <w:pPr>
      <w:keepLines/>
      <w:widowControl/>
      <w:spacing w:line="200" w:lineRule="atLeast"/>
      <w:ind w:right="-120"/>
      <w:jc w:val="left"/>
    </w:pPr>
    <w:rPr>
      <w:kern w:val="0"/>
      <w:sz w:val="18"/>
      <w:szCs w:val="20"/>
    </w:rPr>
  </w:style>
  <w:style w:type="paragraph" w:customStyle="1" w:styleId="154">
    <w:name w:val="样式3"/>
    <w:basedOn w:val="30"/>
    <w:qFormat/>
    <w:uiPriority w:val="0"/>
    <w:pPr>
      <w:spacing w:line="0" w:lineRule="atLeast"/>
      <w:outlineLvl w:val="0"/>
    </w:pPr>
    <w:rPr>
      <w:sz w:val="28"/>
    </w:rPr>
  </w:style>
  <w:style w:type="paragraph" w:customStyle="1" w:styleId="155">
    <w:name w:val="办公自动化专用正文"/>
    <w:basedOn w:val="1"/>
    <w:qFormat/>
    <w:uiPriority w:val="0"/>
    <w:pPr>
      <w:spacing w:line="500" w:lineRule="atLeast"/>
      <w:ind w:firstLine="624"/>
    </w:pPr>
    <w:rPr>
      <w:rFonts w:eastAsia="楷体_GB2312"/>
      <w:sz w:val="32"/>
      <w:szCs w:val="20"/>
    </w:rPr>
  </w:style>
  <w:style w:type="paragraph" w:customStyle="1" w:styleId="156">
    <w:name w:val="Char Char Char1 Char Char Char Char"/>
    <w:basedOn w:val="1"/>
    <w:qFormat/>
    <w:uiPriority w:val="0"/>
    <w:pPr>
      <w:widowControl/>
      <w:spacing w:after="160" w:line="240" w:lineRule="exact"/>
      <w:jc w:val="left"/>
    </w:pPr>
    <w:rPr>
      <w:rFonts w:ascii="宋体" w:hAnsi="宋体"/>
      <w:b/>
      <w:kern w:val="0"/>
      <w:sz w:val="28"/>
      <w:szCs w:val="28"/>
    </w:rPr>
  </w:style>
  <w:style w:type="character" w:customStyle="1" w:styleId="157">
    <w:name w:val="Texte Char Char"/>
    <w:basedOn w:val="57"/>
    <w:qFormat/>
    <w:uiPriority w:val="0"/>
    <w:rPr>
      <w:rFonts w:ascii="宋体" w:hAnsi="Courier New" w:eastAsia="宋体" w:cs="Courier New"/>
      <w:kern w:val="2"/>
      <w:sz w:val="21"/>
      <w:szCs w:val="21"/>
      <w:lang w:val="en-US" w:eastAsia="zh-CN" w:bidi="ar-SA"/>
    </w:rPr>
  </w:style>
  <w:style w:type="paragraph" w:customStyle="1" w:styleId="158">
    <w:name w:val="样式 标题 5 + 右侧:  -0.18 字符"/>
    <w:basedOn w:val="1"/>
    <w:qFormat/>
    <w:uiPriority w:val="0"/>
    <w:pPr>
      <w:tabs>
        <w:tab w:val="left" w:pos="1008"/>
        <w:tab w:val="left" w:pos="1380"/>
      </w:tabs>
      <w:ind w:left="1380" w:hanging="645"/>
    </w:pPr>
    <w:rPr>
      <w:szCs w:val="20"/>
    </w:rPr>
  </w:style>
  <w:style w:type="paragraph" w:customStyle="1" w:styleId="159">
    <w:name w:val="p0"/>
    <w:basedOn w:val="1"/>
    <w:link w:val="173"/>
    <w:qFormat/>
    <w:uiPriority w:val="0"/>
    <w:pPr>
      <w:widowControl/>
    </w:pPr>
    <w:rPr>
      <w:kern w:val="0"/>
      <w:szCs w:val="21"/>
    </w:rPr>
  </w:style>
  <w:style w:type="paragraph" w:customStyle="1" w:styleId="160">
    <w:name w:val="样式 标题 2市检方案标题2第一层条h22章标题节标题第一章 标题 2Heading 2 HiddenHead..."/>
    <w:basedOn w:val="3"/>
    <w:qFormat/>
    <w:uiPriority w:val="0"/>
    <w:pPr>
      <w:spacing w:before="120" w:after="120" w:line="264" w:lineRule="auto"/>
      <w:jc w:val="left"/>
    </w:pPr>
    <w:rPr>
      <w:rFonts w:ascii="楷体_GB2312" w:hAnsi="楷体" w:cs="宋体"/>
      <w:color w:val="000000"/>
      <w:kern w:val="0"/>
      <w:sz w:val="28"/>
      <w:szCs w:val="28"/>
    </w:rPr>
  </w:style>
  <w:style w:type="paragraph" w:customStyle="1" w:styleId="161">
    <w:name w:val="样式4"/>
    <w:basedOn w:val="1"/>
    <w:qFormat/>
    <w:uiPriority w:val="0"/>
    <w:pPr>
      <w:numPr>
        <w:ilvl w:val="0"/>
        <w:numId w:val="6"/>
      </w:numPr>
      <w:spacing w:line="360" w:lineRule="auto"/>
    </w:pPr>
    <w:rPr>
      <w:rFonts w:ascii="宋体" w:hAnsi="宋体"/>
      <w:sz w:val="24"/>
    </w:rPr>
  </w:style>
  <w:style w:type="paragraph" w:customStyle="1" w:styleId="162">
    <w:name w:val="_Style 6"/>
    <w:basedOn w:val="1"/>
    <w:qFormat/>
    <w:uiPriority w:val="34"/>
    <w:pPr>
      <w:ind w:firstLine="420" w:firstLineChars="200"/>
    </w:pPr>
  </w:style>
  <w:style w:type="paragraph" w:customStyle="1" w:styleId="163">
    <w:name w:val="style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表第一行"/>
    <w:qFormat/>
    <w:uiPriority w:val="0"/>
    <w:pPr>
      <w:widowControl w:val="0"/>
      <w:spacing w:line="300" w:lineRule="auto"/>
      <w:jc w:val="center"/>
    </w:pPr>
    <w:rPr>
      <w:rFonts w:ascii="Calibri" w:hAnsi="Calibri" w:eastAsia="仿宋_GB2312" w:cs="宋体"/>
      <w:kern w:val="2"/>
      <w:sz w:val="24"/>
      <w:lang w:val="en-US" w:eastAsia="zh-CN" w:bidi="ar-SA"/>
    </w:rPr>
  </w:style>
  <w:style w:type="paragraph" w:customStyle="1" w:styleId="165">
    <w:name w:val="表的正文"/>
    <w:qFormat/>
    <w:uiPriority w:val="0"/>
    <w:pPr>
      <w:spacing w:line="276" w:lineRule="auto"/>
    </w:pPr>
    <w:rPr>
      <w:rFonts w:ascii="宋体" w:hAnsi="宋体" w:eastAsia="宋体" w:cs="Times New Roman"/>
      <w:kern w:val="2"/>
      <w:sz w:val="24"/>
      <w:szCs w:val="24"/>
      <w:lang w:val="en-US" w:eastAsia="zh-CN" w:bidi="ar-SA"/>
    </w:rPr>
  </w:style>
  <w:style w:type="paragraph" w:customStyle="1" w:styleId="166">
    <w:name w:val="列出段落2"/>
    <w:basedOn w:val="1"/>
    <w:qFormat/>
    <w:uiPriority w:val="34"/>
    <w:pPr>
      <w:ind w:firstLine="420"/>
    </w:pPr>
  </w:style>
  <w:style w:type="paragraph" w:styleId="167">
    <w:name w:val="List Paragraph"/>
    <w:basedOn w:val="1"/>
    <w:link w:val="170"/>
    <w:qFormat/>
    <w:uiPriority w:val="0"/>
    <w:pPr>
      <w:ind w:firstLine="420" w:firstLineChars="200"/>
    </w:pPr>
  </w:style>
  <w:style w:type="paragraph" w:customStyle="1" w:styleId="168">
    <w:name w:val="标准正文"/>
    <w:basedOn w:val="1"/>
    <w:qFormat/>
    <w:uiPriority w:val="0"/>
    <w:pPr>
      <w:spacing w:line="360" w:lineRule="auto"/>
      <w:ind w:firstLine="480" w:firstLineChars="200"/>
    </w:pPr>
    <w:rPr>
      <w:rFonts w:ascii="Calibri" w:hAnsi="宋体"/>
      <w:sz w:val="24"/>
    </w:rPr>
  </w:style>
  <w:style w:type="character" w:customStyle="1" w:styleId="169">
    <w:name w:val="普通(网站) Char"/>
    <w:link w:val="49"/>
    <w:qFormat/>
    <w:locked/>
    <w:uiPriority w:val="99"/>
    <w:rPr>
      <w:rFonts w:ascii="宋体" w:hAnsi="宋体" w:cs="宋体"/>
      <w:color w:val="000000"/>
      <w:sz w:val="24"/>
      <w:szCs w:val="24"/>
    </w:rPr>
  </w:style>
  <w:style w:type="character" w:customStyle="1" w:styleId="170">
    <w:name w:val="列出段落 Char"/>
    <w:link w:val="167"/>
    <w:qFormat/>
    <w:uiPriority w:val="0"/>
    <w:rPr>
      <w:kern w:val="2"/>
      <w:sz w:val="21"/>
      <w:szCs w:val="24"/>
    </w:rPr>
  </w:style>
  <w:style w:type="character" w:customStyle="1" w:styleId="171">
    <w:name w:val="IDS TEXT 1 Char"/>
    <w:link w:val="172"/>
    <w:qFormat/>
    <w:uiPriority w:val="0"/>
    <w:rPr>
      <w:rFonts w:ascii="Arial" w:hAnsi="Arial" w:cs="Calibri"/>
      <w:sz w:val="21"/>
    </w:rPr>
  </w:style>
  <w:style w:type="paragraph" w:customStyle="1" w:styleId="172">
    <w:name w:val="IDS TEXT 1"/>
    <w:basedOn w:val="1"/>
    <w:link w:val="171"/>
    <w:qFormat/>
    <w:uiPriority w:val="0"/>
    <w:pPr>
      <w:widowControl/>
      <w:ind w:firstLine="200" w:firstLineChars="200"/>
    </w:pPr>
    <w:rPr>
      <w:rFonts w:ascii="Arial" w:hAnsi="Arial"/>
      <w:kern w:val="0"/>
      <w:szCs w:val="20"/>
    </w:rPr>
  </w:style>
  <w:style w:type="character" w:customStyle="1" w:styleId="173">
    <w:name w:val="p0 Char Char"/>
    <w:link w:val="159"/>
    <w:qFormat/>
    <w:uiPriority w:val="0"/>
    <w:rPr>
      <w:sz w:val="21"/>
      <w:szCs w:val="21"/>
    </w:rPr>
  </w:style>
  <w:style w:type="paragraph" w:customStyle="1" w:styleId="17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2"/>
      <w:szCs w:val="22"/>
    </w:rPr>
  </w:style>
  <w:style w:type="character" w:customStyle="1" w:styleId="175">
    <w:name w:val="批注文字 Char"/>
    <w:link w:val="20"/>
    <w:qFormat/>
    <w:uiPriority w:val="0"/>
    <w:rPr>
      <w:rFonts w:ascii="Calibri" w:hAnsi="Calibri"/>
      <w:kern w:val="2"/>
      <w:sz w:val="21"/>
      <w:szCs w:val="22"/>
    </w:rPr>
  </w:style>
  <w:style w:type="character" w:customStyle="1" w:styleId="176">
    <w:name w:val="批注文字 Char1"/>
    <w:basedOn w:val="57"/>
    <w:link w:val="20"/>
    <w:semiHidden/>
    <w:qFormat/>
    <w:uiPriority w:val="99"/>
    <w:rPr>
      <w:kern w:val="2"/>
      <w:sz w:val="21"/>
      <w:szCs w:val="24"/>
    </w:rPr>
  </w:style>
  <w:style w:type="paragraph" w:customStyle="1" w:styleId="177">
    <w:name w:val="表格正文"/>
    <w:basedOn w:val="1"/>
    <w:qFormat/>
    <w:uiPriority w:val="0"/>
    <w:pPr>
      <w:jc w:val="center"/>
    </w:pPr>
    <w:rPr>
      <w:rFonts w:eastAsia="仿宋_GB2312"/>
    </w:rPr>
  </w:style>
  <w:style w:type="paragraph" w:customStyle="1" w:styleId="178">
    <w:name w:val="xl31"/>
    <w:basedOn w:val="1"/>
    <w:qFormat/>
    <w:uiPriority w:val="0"/>
    <w:pPr>
      <w:widowControl/>
      <w:spacing w:before="100" w:beforeAutospacing="1" w:after="100" w:afterAutospacing="1"/>
      <w:jc w:val="left"/>
      <w:textAlignment w:val="top"/>
    </w:pPr>
    <w:rPr>
      <w:rFonts w:ascii="Tahoma" w:hAnsi="Tahoma" w:eastAsia="Arial Unicode MS" w:cs="Tahoma"/>
      <w:kern w:val="0"/>
      <w:sz w:val="16"/>
      <w:szCs w:val="16"/>
    </w:rPr>
  </w:style>
  <w:style w:type="paragraph" w:customStyle="1" w:styleId="179">
    <w:name w:val="xl32"/>
    <w:basedOn w:val="1"/>
    <w:qFormat/>
    <w:uiPriority w:val="0"/>
    <w:pPr>
      <w:widowControl/>
      <w:spacing w:before="100" w:beforeAutospacing="1" w:after="100" w:afterAutospacing="1"/>
      <w:jc w:val="left"/>
      <w:textAlignment w:val="top"/>
    </w:pPr>
    <w:rPr>
      <w:rFonts w:ascii="Tahoma" w:hAnsi="Tahoma" w:eastAsia="Arial Unicode MS" w:cs="Tahoma"/>
      <w:kern w:val="0"/>
      <w:sz w:val="16"/>
      <w:szCs w:val="16"/>
    </w:rPr>
  </w:style>
  <w:style w:type="paragraph" w:customStyle="1" w:styleId="180">
    <w:name w:val="正文４"/>
    <w:basedOn w:val="1"/>
    <w:qFormat/>
    <w:uiPriority w:val="0"/>
    <w:pPr>
      <w:spacing w:line="360" w:lineRule="auto"/>
      <w:ind w:firstLine="480"/>
    </w:pPr>
    <w:rPr>
      <w:sz w:val="24"/>
      <w:szCs w:val="20"/>
    </w:rPr>
  </w:style>
  <w:style w:type="paragraph" w:customStyle="1" w:styleId="181">
    <w:name w:val="正文4"/>
    <w:basedOn w:val="1"/>
    <w:qFormat/>
    <w:uiPriority w:val="0"/>
    <w:pPr>
      <w:spacing w:line="360" w:lineRule="auto"/>
      <w:ind w:firstLine="480" w:firstLineChars="200"/>
    </w:pPr>
    <w:rPr>
      <w:rFonts w:ascii="宋体" w:hAnsi="宋体"/>
      <w:sz w:val="24"/>
      <w:szCs w:val="20"/>
    </w:rPr>
  </w:style>
  <w:style w:type="paragraph" w:customStyle="1" w:styleId="182">
    <w:name w:val="表格文字1"/>
    <w:basedOn w:val="1"/>
    <w:qFormat/>
    <w:uiPriority w:val="0"/>
    <w:pPr>
      <w:jc w:val="center"/>
    </w:pPr>
    <w:rPr>
      <w:rFonts w:ascii="宋体" w:hAnsi="宋体"/>
      <w:szCs w:val="21"/>
      <w:shd w:val="clear" w:color="auto" w:fill="FFFFFF"/>
    </w:rPr>
  </w:style>
  <w:style w:type="character" w:customStyle="1" w:styleId="183">
    <w:name w:val="style31"/>
    <w:basedOn w:val="57"/>
    <w:qFormat/>
    <w:uiPriority w:val="0"/>
    <w:rPr>
      <w:sz w:val="21"/>
      <w:szCs w:val="21"/>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185">
    <w:name w:val="xl23"/>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rPr>
  </w:style>
  <w:style w:type="paragraph" w:customStyle="1" w:styleId="189">
    <w:name w:val="xl37"/>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90">
    <w:name w:val="xl38"/>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91">
    <w:name w:val="xl3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3">
    <w:name w:val="xl41"/>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4">
    <w:name w:val="xl4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
    <w:name w:val="xl4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6">
    <w:name w:val="xl44"/>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97">
    <w:name w:val="xl4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9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20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01">
    <w:name w:val="xl49"/>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202">
    <w:name w:val="xl50"/>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rPr>
  </w:style>
  <w:style w:type="paragraph" w:customStyle="1" w:styleId="203">
    <w:name w:val="xl51"/>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20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24"/>
    </w:rPr>
  </w:style>
  <w:style w:type="paragraph" w:customStyle="1" w:styleId="205">
    <w:name w:val="xl53"/>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20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rPr>
  </w:style>
  <w:style w:type="paragraph" w:customStyle="1" w:styleId="20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黑体" w:hAnsi="宋体" w:eastAsia="黑体" w:cs="宋体"/>
      <w:kern w:val="0"/>
      <w:sz w:val="24"/>
    </w:rPr>
  </w:style>
  <w:style w:type="paragraph" w:customStyle="1" w:styleId="208">
    <w:name w:val="xl5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rPr>
  </w:style>
  <w:style w:type="paragraph" w:customStyle="1" w:styleId="209">
    <w:name w:val="xl57"/>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textAlignment w:val="center"/>
    </w:pPr>
    <w:rPr>
      <w:rFonts w:ascii="黑体" w:hAnsi="宋体" w:eastAsia="黑体" w:cs="宋体"/>
      <w:kern w:val="0"/>
      <w:sz w:val="24"/>
    </w:rPr>
  </w:style>
  <w:style w:type="character" w:customStyle="1" w:styleId="210">
    <w:name w:val="style101"/>
    <w:basedOn w:val="57"/>
    <w:qFormat/>
    <w:uiPriority w:val="0"/>
    <w:rPr>
      <w:color w:val="003366"/>
      <w:sz w:val="24"/>
      <w:szCs w:val="24"/>
    </w:rPr>
  </w:style>
  <w:style w:type="paragraph" w:customStyle="1" w:styleId="211">
    <w:name w:val="xl6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213">
    <w:name w:val="xl67"/>
    <w:basedOn w:val="1"/>
    <w:qFormat/>
    <w:uiPriority w:val="0"/>
    <w:pPr>
      <w:widowControl/>
      <w:pBdr>
        <w:top w:val="single" w:color="000000" w:sz="8" w:space="0"/>
      </w:pBdr>
      <w:spacing w:before="100" w:beforeAutospacing="1" w:after="100" w:afterAutospacing="1"/>
      <w:jc w:val="left"/>
      <w:textAlignment w:val="top"/>
    </w:pPr>
    <w:rPr>
      <w:rFonts w:ascii="宋体" w:hAnsi="宋体" w:cs="宋体"/>
      <w:kern w:val="0"/>
      <w:sz w:val="24"/>
    </w:rPr>
  </w:style>
  <w:style w:type="paragraph" w:customStyle="1" w:styleId="214">
    <w:name w:val="xl68"/>
    <w:basedOn w:val="1"/>
    <w:qFormat/>
    <w:uiPriority w:val="0"/>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21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6">
    <w:name w:val="xl70"/>
    <w:basedOn w:val="1"/>
    <w:qFormat/>
    <w:uiPriority w:val="0"/>
    <w:pPr>
      <w:widowControl/>
      <w:pBdr>
        <w:top w:val="single" w:color="000000" w:sz="8" w:space="0"/>
      </w:pBdr>
      <w:spacing w:before="100" w:beforeAutospacing="1" w:after="100" w:afterAutospacing="1"/>
      <w:jc w:val="right"/>
      <w:textAlignment w:val="top"/>
    </w:pPr>
    <w:rPr>
      <w:rFonts w:ascii="宋体" w:hAnsi="宋体" w:cs="宋体"/>
      <w:b/>
      <w:bCs/>
      <w:color w:val="000000"/>
      <w:kern w:val="0"/>
      <w:sz w:val="18"/>
      <w:szCs w:val="18"/>
    </w:rPr>
  </w:style>
  <w:style w:type="paragraph" w:customStyle="1" w:styleId="217">
    <w:name w:val="xl71"/>
    <w:basedOn w:val="1"/>
    <w:qFormat/>
    <w:uiPriority w:val="0"/>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18">
    <w:name w:val="xl72"/>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宋体"/>
      <w:color w:val="000000"/>
      <w:kern w:val="0"/>
      <w:szCs w:val="21"/>
    </w:rPr>
  </w:style>
  <w:style w:type="paragraph" w:customStyle="1" w:styleId="21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Cs w:val="21"/>
    </w:rPr>
  </w:style>
  <w:style w:type="paragraph" w:customStyle="1" w:styleId="220">
    <w:name w:val="xl74"/>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1">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2">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3">
    <w:name w:val="xl63"/>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4">
    <w:name w:val="xl6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5">
    <w:name w:val="xl77"/>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6">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7">
    <w:name w:val="xl79"/>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8">
    <w:name w:val="xl80"/>
    <w:basedOn w:val="1"/>
    <w:qFormat/>
    <w:uiPriority w:val="0"/>
    <w:pPr>
      <w:widowControl/>
      <w:spacing w:before="100" w:beforeAutospacing="1" w:after="100" w:afterAutospacing="1"/>
      <w:jc w:val="right"/>
      <w:textAlignment w:val="top"/>
    </w:pPr>
    <w:rPr>
      <w:rFonts w:ascii="宋体" w:hAnsi="宋体" w:cs="宋体"/>
      <w:b/>
      <w:bCs/>
      <w:color w:val="000000"/>
      <w:kern w:val="0"/>
      <w:sz w:val="18"/>
      <w:szCs w:val="18"/>
    </w:rPr>
  </w:style>
  <w:style w:type="character" w:customStyle="1" w:styleId="229">
    <w:name w:val="批注主题 Char"/>
    <w:basedOn w:val="175"/>
    <w:link w:val="52"/>
    <w:semiHidden/>
    <w:qFormat/>
    <w:uiPriority w:val="99"/>
    <w:rPr>
      <w:b/>
      <w:bCs/>
      <w:szCs w:val="24"/>
    </w:rPr>
  </w:style>
  <w:style w:type="paragraph" w:customStyle="1" w:styleId="230">
    <w:name w:val="正文_0_0"/>
    <w:qFormat/>
    <w:uiPriority w:val="0"/>
    <w:pPr>
      <w:widowControl w:val="0"/>
      <w:jc w:val="both"/>
    </w:pPr>
    <w:rPr>
      <w:rFonts w:ascii="Times New Roman" w:hAnsi="Times New Roman" w:eastAsia="宋体" w:cs="Times New Roman"/>
      <w:lang w:val="en-US" w:eastAsia="zh-CN" w:bidi="ar-SA"/>
    </w:rPr>
  </w:style>
  <w:style w:type="paragraph" w:customStyle="1" w:styleId="231">
    <w:name w:val="black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631CA-F42E-402C-8786-246367F20F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3729</Words>
  <Characters>21258</Characters>
  <Lines>177</Lines>
  <Paragraphs>49</Paragraphs>
  <TotalTime>24</TotalTime>
  <ScaleCrop>false</ScaleCrop>
  <LinksUpToDate>false</LinksUpToDate>
  <CharactersWithSpaces>24938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2020-09-07T00:54:00Z</dcterms:created>
  <dc:creator>CCC</dc:creator>
  <cp:lastModifiedBy>南溟北辰</cp:lastModifiedBy>
  <cp:lastPrinted>2020-04-03T06:39:00Z</cp:lastPrinted>
  <dcterms:modified xsi:type="dcterms:W3CDTF">2020-09-07T08:48:31Z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